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D6D3A" w14:textId="2A7CFED8" w:rsidR="00957032" w:rsidRPr="00BD41A1" w:rsidRDefault="00361CC9" w:rsidP="00957032">
      <w:pPr>
        <w:spacing w:after="0" w:line="360" w:lineRule="auto"/>
        <w:contextualSpacing/>
        <w:jc w:val="center"/>
        <w:rPr>
          <w:rFonts w:ascii="Arial" w:hAnsi="Arial" w:cs="Arial"/>
          <w:b/>
          <w:color w:val="1D1B11" w:themeColor="background2" w:themeShade="1A"/>
          <w:sz w:val="28"/>
          <w:szCs w:val="28"/>
          <w:shd w:val="clear" w:color="auto" w:fill="FFFFFF"/>
        </w:rPr>
      </w:pPr>
      <w:r w:rsidRPr="00BD41A1">
        <w:rPr>
          <w:rFonts w:ascii="Arial" w:hAnsi="Arial" w:cs="Arial"/>
          <w:b/>
          <w:color w:val="1D1B11" w:themeColor="background2" w:themeShade="1A"/>
          <w:sz w:val="28"/>
          <w:szCs w:val="28"/>
          <w:shd w:val="clear" w:color="auto" w:fill="FFFFFF"/>
        </w:rPr>
        <w:t xml:space="preserve">Teriparatide and </w:t>
      </w:r>
      <w:r w:rsidR="00974240">
        <w:rPr>
          <w:rFonts w:ascii="Arial" w:hAnsi="Arial" w:cs="Arial"/>
          <w:b/>
          <w:color w:val="1D1B11" w:themeColor="background2" w:themeShade="1A"/>
          <w:sz w:val="28"/>
          <w:szCs w:val="28"/>
          <w:shd w:val="clear" w:color="auto" w:fill="FFFFFF"/>
        </w:rPr>
        <w:t xml:space="preserve">Hybrid </w:t>
      </w:r>
      <w:r w:rsidR="00896101">
        <w:rPr>
          <w:rFonts w:ascii="Arial" w:hAnsi="Arial" w:cs="Arial"/>
          <w:b/>
          <w:color w:val="1D1B11" w:themeColor="background2" w:themeShade="1A"/>
          <w:sz w:val="28"/>
          <w:szCs w:val="28"/>
          <w:shd w:val="clear" w:color="auto" w:fill="FFFFFF"/>
        </w:rPr>
        <w:t>Medicines</w:t>
      </w:r>
    </w:p>
    <w:p w14:paraId="67544FAA" w14:textId="617A9D6D" w:rsidR="00957032" w:rsidRPr="00AC03FB" w:rsidRDefault="00974240" w:rsidP="00957032">
      <w:pPr>
        <w:spacing w:after="0" w:line="360" w:lineRule="auto"/>
        <w:contextualSpacing/>
        <w:jc w:val="center"/>
        <w:rPr>
          <w:rFonts w:ascii="Arial" w:hAnsi="Arial" w:cs="Arial"/>
          <w:b/>
          <w:color w:val="FF0000"/>
          <w:shd w:val="clear" w:color="auto" w:fill="FFFFFF"/>
        </w:rPr>
      </w:pPr>
      <w:r>
        <w:rPr>
          <w:rFonts w:ascii="Arial" w:hAnsi="Arial" w:cs="Arial"/>
          <w:b/>
          <w:color w:val="FF0000"/>
          <w:shd w:val="clear" w:color="auto" w:fill="FFFFFF"/>
        </w:rPr>
        <w:t>April 2024</w:t>
      </w:r>
    </w:p>
    <w:p w14:paraId="288127DE" w14:textId="77777777" w:rsidR="00957032" w:rsidRPr="00AC03FB" w:rsidRDefault="00957032" w:rsidP="00957032">
      <w:pPr>
        <w:spacing w:after="0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</w:p>
    <w:p w14:paraId="3FD93D4C" w14:textId="03B0E955" w:rsidR="00957032" w:rsidRPr="00AC03FB" w:rsidRDefault="00361CC9" w:rsidP="00543513">
      <w:pPr>
        <w:pStyle w:val="Heading2"/>
        <w:spacing w:before="0" w:line="360" w:lineRule="auto"/>
        <w:contextualSpacing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Switching from Forsteo® to </w:t>
      </w:r>
      <w:r w:rsidR="00C92C74">
        <w:rPr>
          <w:rFonts w:ascii="Arial" w:hAnsi="Arial" w:cs="Arial"/>
          <w:b/>
          <w:color w:val="0070C0"/>
          <w:sz w:val="22"/>
          <w:szCs w:val="22"/>
        </w:rPr>
        <w:t>Tet</w:t>
      </w:r>
      <w:r w:rsidR="0058644A">
        <w:rPr>
          <w:rFonts w:ascii="Arial" w:hAnsi="Arial" w:cs="Arial"/>
          <w:b/>
          <w:color w:val="0070C0"/>
          <w:sz w:val="22"/>
          <w:szCs w:val="22"/>
        </w:rPr>
        <w:t>ri</w:t>
      </w:r>
      <w:r w:rsidR="00C92C74">
        <w:rPr>
          <w:rFonts w:ascii="Arial" w:hAnsi="Arial" w:cs="Arial"/>
          <w:b/>
          <w:color w:val="0070C0"/>
          <w:sz w:val="22"/>
          <w:szCs w:val="22"/>
        </w:rPr>
        <w:t>dar</w:t>
      </w:r>
      <w:r>
        <w:rPr>
          <w:rFonts w:ascii="Arial" w:hAnsi="Arial" w:cs="Arial"/>
          <w:b/>
          <w:color w:val="0070C0"/>
          <w:sz w:val="22"/>
          <w:szCs w:val="22"/>
        </w:rPr>
        <w:t>®</w:t>
      </w:r>
    </w:p>
    <w:p w14:paraId="71B3047D" w14:textId="7EA8D248" w:rsidR="00F807B0" w:rsidRDefault="00361CC9" w:rsidP="00957032">
      <w:pPr>
        <w:spacing w:after="0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This leaflet contains information about your medicines for your osteoporosis condition and our plan to switch your treatment from Forsteo® to </w:t>
      </w:r>
      <w:r w:rsidR="00C92C74">
        <w:rPr>
          <w:rFonts w:ascii="Arial" w:hAnsi="Arial" w:cs="Arial"/>
          <w:color w:val="000000"/>
          <w:shd w:val="clear" w:color="auto" w:fill="FFFFFF"/>
        </w:rPr>
        <w:t>Tetridar</w:t>
      </w:r>
      <w:r>
        <w:rPr>
          <w:rFonts w:ascii="Arial" w:hAnsi="Arial" w:cs="Arial"/>
          <w:color w:val="000000"/>
          <w:shd w:val="clear" w:color="auto" w:fill="FFFFFF"/>
        </w:rPr>
        <w:t xml:space="preserve">®. If you have any further questions after reading this leaflet, please speak </w:t>
      </w: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 xml:space="preserve">to </w:t>
      </w:r>
      <w:r w:rsidRPr="00F076FC">
        <w:rPr>
          <w:rFonts w:ascii="Arial" w:hAnsi="Arial" w:cs="Arial"/>
          <w:color w:val="000000"/>
          <w:highlight w:val="yellow"/>
          <w:shd w:val="clear" w:color="auto" w:fill="FFFFFF"/>
        </w:rPr>
        <w:t>&lt;insert name and contact details for relevant clinical team member&gt;.</w:t>
      </w:r>
    </w:p>
    <w:p w14:paraId="19B68F72" w14:textId="34EF9339" w:rsidR="00466823" w:rsidRDefault="00466823" w:rsidP="00957032">
      <w:pPr>
        <w:spacing w:after="0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</w:p>
    <w:p w14:paraId="712F3CC4" w14:textId="2FE6B207" w:rsidR="00466823" w:rsidRDefault="00361CC9" w:rsidP="00466823">
      <w:pPr>
        <w:pStyle w:val="Heading2"/>
        <w:spacing w:before="0" w:line="360" w:lineRule="auto"/>
        <w:contextualSpacing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Why am I receiving this leaflet?</w:t>
      </w:r>
    </w:p>
    <w:p w14:paraId="02759ECD" w14:textId="025001B2" w:rsidR="00466823" w:rsidRDefault="005D49B1" w:rsidP="004640F4">
      <w:pPr>
        <w:spacing w:after="0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You are currently undergoing treatment with teriparatide (Forsteo®). You may be aware that the patent for Forsteo® has expired and other versions of teriparatide, including </w:t>
      </w:r>
      <w:r w:rsidR="00C92C74">
        <w:rPr>
          <w:rFonts w:ascii="Arial" w:hAnsi="Arial" w:cs="Arial"/>
          <w:color w:val="000000"/>
          <w:shd w:val="clear" w:color="auto" w:fill="FFFFFF"/>
        </w:rPr>
        <w:t xml:space="preserve">hybrid </w:t>
      </w:r>
      <w:r>
        <w:rPr>
          <w:rFonts w:ascii="Arial" w:hAnsi="Arial" w:cs="Arial"/>
          <w:color w:val="000000"/>
          <w:shd w:val="clear" w:color="auto" w:fill="FFFFFF"/>
        </w:rPr>
        <w:t xml:space="preserve">medicines,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have now been approved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and are available to patients. The HSE now recommends that patients receive </w:t>
      </w:r>
      <w:r w:rsidR="00C92C74">
        <w:rPr>
          <w:rFonts w:ascii="Arial" w:hAnsi="Arial" w:cs="Arial"/>
          <w:color w:val="000000"/>
          <w:shd w:val="clear" w:color="auto" w:fill="FFFFFF"/>
        </w:rPr>
        <w:t>Tetridar</w:t>
      </w:r>
      <w:r>
        <w:rPr>
          <w:rFonts w:ascii="Arial" w:hAnsi="Arial" w:cs="Arial"/>
          <w:color w:val="000000"/>
          <w:shd w:val="clear" w:color="auto" w:fill="FFFFFF"/>
        </w:rPr>
        <w:t xml:space="preserve">® as the </w:t>
      </w:r>
      <w:r w:rsidR="00C92C74">
        <w:rPr>
          <w:rFonts w:ascii="Arial" w:hAnsi="Arial" w:cs="Arial"/>
          <w:color w:val="000000"/>
          <w:shd w:val="clear" w:color="auto" w:fill="FFFFFF"/>
        </w:rPr>
        <w:t xml:space="preserve">hybrid medicine </w:t>
      </w:r>
      <w:r>
        <w:rPr>
          <w:rFonts w:ascii="Arial" w:hAnsi="Arial" w:cs="Arial"/>
          <w:color w:val="000000"/>
          <w:shd w:val="clear" w:color="auto" w:fill="FFFFFF"/>
        </w:rPr>
        <w:t>version of Forsteo®.</w:t>
      </w:r>
    </w:p>
    <w:p w14:paraId="5022BC9F" w14:textId="611540BA" w:rsidR="00466823" w:rsidRDefault="00466823" w:rsidP="004640F4">
      <w:pPr>
        <w:spacing w:after="0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</w:p>
    <w:p w14:paraId="7EB6E0F3" w14:textId="525DBAE4" w:rsidR="00466823" w:rsidRDefault="005D49B1" w:rsidP="00466823">
      <w:pPr>
        <w:pStyle w:val="Heading2"/>
        <w:spacing w:before="0" w:line="360" w:lineRule="auto"/>
        <w:contextualSpacing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What is a </w:t>
      </w:r>
      <w:r w:rsidR="00C92C74">
        <w:rPr>
          <w:rFonts w:ascii="Arial" w:hAnsi="Arial" w:cs="Arial"/>
          <w:b/>
          <w:color w:val="0070C0"/>
          <w:sz w:val="22"/>
          <w:szCs w:val="22"/>
        </w:rPr>
        <w:t>hybrid medicine</w:t>
      </w:r>
      <w:r>
        <w:rPr>
          <w:rFonts w:ascii="Arial" w:hAnsi="Arial" w:cs="Arial"/>
          <w:b/>
          <w:color w:val="0070C0"/>
          <w:sz w:val="22"/>
          <w:szCs w:val="22"/>
        </w:rPr>
        <w:t>?</w:t>
      </w:r>
    </w:p>
    <w:p w14:paraId="16B1B2DD" w14:textId="155E038E" w:rsidR="006874F7" w:rsidRDefault="00B01E42" w:rsidP="004640F4">
      <w:pPr>
        <w:spacing w:after="0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The European Medicines Agency (EMA)</w:t>
      </w:r>
      <w:r w:rsidR="006874F7">
        <w:rPr>
          <w:rFonts w:ascii="Arial" w:hAnsi="Arial" w:cs="Arial"/>
          <w:color w:val="000000"/>
          <w:shd w:val="clear" w:color="auto" w:fill="FFFFFF"/>
        </w:rPr>
        <w:t xml:space="preserve"> defines a </w:t>
      </w:r>
      <w:r w:rsidR="00C92C74">
        <w:rPr>
          <w:rFonts w:ascii="Arial" w:hAnsi="Arial" w:cs="Arial"/>
          <w:color w:val="000000"/>
          <w:shd w:val="clear" w:color="auto" w:fill="FFFFFF"/>
        </w:rPr>
        <w:t>hybrid</w:t>
      </w:r>
      <w:r w:rsidR="00C92C74" w:rsidRPr="004640F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66823" w:rsidRPr="004640F4">
        <w:rPr>
          <w:rFonts w:ascii="Arial" w:hAnsi="Arial" w:cs="Arial"/>
          <w:color w:val="000000"/>
          <w:shd w:val="clear" w:color="auto" w:fill="FFFFFF"/>
        </w:rPr>
        <w:t>medicine</w:t>
      </w:r>
      <w:r w:rsidR="006874F7">
        <w:rPr>
          <w:rFonts w:ascii="Arial" w:hAnsi="Arial" w:cs="Arial"/>
          <w:color w:val="000000"/>
          <w:shd w:val="clear" w:color="auto" w:fill="FFFFFF"/>
        </w:rPr>
        <w:t xml:space="preserve"> as a</w:t>
      </w:r>
      <w:r w:rsidR="00C92C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92C74" w:rsidRPr="00C92C74">
        <w:rPr>
          <w:rFonts w:ascii="Arial" w:hAnsi="Arial" w:cs="Arial"/>
          <w:color w:val="000000"/>
          <w:shd w:val="clear" w:color="auto" w:fill="FFFFFF"/>
        </w:rPr>
        <w:t xml:space="preserve">medicine that is similar to an authorised medicine containing the </w:t>
      </w:r>
      <w:r w:rsidR="00C92C74">
        <w:rPr>
          <w:rFonts w:ascii="Arial" w:hAnsi="Arial" w:cs="Arial"/>
          <w:color w:val="000000"/>
          <w:shd w:val="clear" w:color="auto" w:fill="FFFFFF"/>
        </w:rPr>
        <w:t>drug</w:t>
      </w:r>
      <w:r w:rsidR="00C92C74" w:rsidRPr="00C92C74">
        <w:rPr>
          <w:rFonts w:ascii="Arial" w:hAnsi="Arial" w:cs="Arial"/>
          <w:color w:val="000000"/>
          <w:shd w:val="clear" w:color="auto" w:fill="FFFFFF"/>
        </w:rPr>
        <w:t xml:space="preserve">, but where there are certain differences between the two medicines such as in their strength, indication or pharmaceutical form. </w:t>
      </w:r>
      <w:r w:rsidR="00C92C74">
        <w:rPr>
          <w:rFonts w:ascii="Arial" w:hAnsi="Arial" w:cs="Arial"/>
          <w:color w:val="000000"/>
          <w:shd w:val="clear" w:color="auto" w:fill="FFFFFF"/>
        </w:rPr>
        <w:t>The approval of the hybrid medicine</w:t>
      </w:r>
      <w:r w:rsidR="00C92C74" w:rsidRPr="00C92C74">
        <w:rPr>
          <w:rFonts w:ascii="Arial" w:hAnsi="Arial" w:cs="Arial"/>
          <w:color w:val="000000"/>
          <w:shd w:val="clear" w:color="auto" w:fill="FFFFFF"/>
        </w:rPr>
        <w:t xml:space="preserve"> depends partly on the results of tests on the </w:t>
      </w:r>
      <w:r w:rsidR="00C92C74">
        <w:rPr>
          <w:rFonts w:ascii="Arial" w:hAnsi="Arial" w:cs="Arial"/>
          <w:color w:val="000000"/>
          <w:shd w:val="clear" w:color="auto" w:fill="FFFFFF"/>
        </w:rPr>
        <w:t>original</w:t>
      </w:r>
      <w:r w:rsidR="00C92C74" w:rsidRPr="00C92C74">
        <w:rPr>
          <w:rFonts w:ascii="Arial" w:hAnsi="Arial" w:cs="Arial"/>
          <w:color w:val="000000"/>
          <w:shd w:val="clear" w:color="auto" w:fill="FFFFFF"/>
        </w:rPr>
        <w:t xml:space="preserve"> medicine and partly on new data from clinical trials</w:t>
      </w:r>
      <w:r w:rsidR="00C92C74">
        <w:rPr>
          <w:rFonts w:ascii="Arial" w:hAnsi="Arial" w:cs="Arial"/>
          <w:color w:val="000000"/>
          <w:shd w:val="clear" w:color="auto" w:fill="FFFFFF"/>
        </w:rPr>
        <w:t>.</w:t>
      </w:r>
    </w:p>
    <w:p w14:paraId="217D0AD5" w14:textId="77777777" w:rsidR="006874F7" w:rsidRDefault="006874F7" w:rsidP="004640F4">
      <w:pPr>
        <w:spacing w:after="0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</w:p>
    <w:p w14:paraId="62824F34" w14:textId="7479117B" w:rsidR="006874F7" w:rsidRDefault="007676BF" w:rsidP="004640F4">
      <w:pPr>
        <w:spacing w:after="0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Tetridar®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has been approved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for use in Ireland as it has been shown to be as safe and effective as Forsteo®</w:t>
      </w:r>
      <w:r w:rsidR="0058644A">
        <w:rPr>
          <w:rFonts w:ascii="Arial" w:hAnsi="Arial" w:cs="Arial"/>
          <w:color w:val="000000"/>
          <w:shd w:val="clear" w:color="auto" w:fill="FFFFFF"/>
        </w:rPr>
        <w:t>.</w:t>
      </w:r>
    </w:p>
    <w:p w14:paraId="0F58C274" w14:textId="69DFBE70" w:rsidR="006874F7" w:rsidRDefault="006874F7" w:rsidP="004640F4">
      <w:pPr>
        <w:spacing w:after="0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</w:p>
    <w:p w14:paraId="6A2DBCF5" w14:textId="0922062D" w:rsidR="00AB642E" w:rsidRDefault="006874F7" w:rsidP="00AB642E">
      <w:pPr>
        <w:spacing w:after="100" w:afterAutospacing="1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We are confident that </w:t>
      </w:r>
      <w:r w:rsidR="007676BF">
        <w:rPr>
          <w:rFonts w:ascii="Arial" w:hAnsi="Arial" w:cs="Arial"/>
          <w:color w:val="000000"/>
          <w:shd w:val="clear" w:color="auto" w:fill="FFFFFF"/>
        </w:rPr>
        <w:t>Tetridar</w:t>
      </w:r>
      <w:r>
        <w:rPr>
          <w:rFonts w:ascii="Arial" w:hAnsi="Arial" w:cs="Arial"/>
          <w:color w:val="000000"/>
          <w:shd w:val="clear" w:color="auto" w:fill="FFFFFF"/>
        </w:rPr>
        <w:t>® is just as effective and has the same safety profile as Forsteo®.</w:t>
      </w:r>
      <w:r w:rsidR="00BA699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676BF">
        <w:rPr>
          <w:rFonts w:ascii="Arial" w:hAnsi="Arial" w:cs="Arial"/>
          <w:color w:val="000000"/>
          <w:shd w:val="clear" w:color="auto" w:fill="FFFFFF"/>
        </w:rPr>
        <w:t>Tetridar</w:t>
      </w:r>
      <w:r w:rsidR="00AB642E">
        <w:rPr>
          <w:rFonts w:ascii="Arial" w:hAnsi="Arial" w:cs="Arial"/>
          <w:color w:val="000000"/>
          <w:shd w:val="clear" w:color="auto" w:fill="FFFFFF"/>
        </w:rPr>
        <w:t>®</w:t>
      </w:r>
      <w:r w:rsidR="00AB642E" w:rsidRPr="00187A18">
        <w:rPr>
          <w:rFonts w:ascii="Arial" w:hAnsi="Arial" w:cs="Arial"/>
          <w:color w:val="000000"/>
          <w:shd w:val="clear" w:color="auto" w:fill="FFFFFF"/>
        </w:rPr>
        <w:t xml:space="preserve"> cost</w:t>
      </w:r>
      <w:r w:rsidR="00AB642E">
        <w:rPr>
          <w:rFonts w:ascii="Arial" w:hAnsi="Arial" w:cs="Arial"/>
          <w:color w:val="000000"/>
          <w:shd w:val="clear" w:color="auto" w:fill="FFFFFF"/>
        </w:rPr>
        <w:t xml:space="preserve">s less than Forsteo®. Switching patients to </w:t>
      </w:r>
      <w:r w:rsidR="007676BF">
        <w:rPr>
          <w:rFonts w:ascii="Arial" w:hAnsi="Arial" w:cs="Arial"/>
          <w:color w:val="000000"/>
          <w:shd w:val="clear" w:color="auto" w:fill="FFFFFF"/>
        </w:rPr>
        <w:t>Tetr</w:t>
      </w:r>
      <w:r w:rsidR="006D6EA1">
        <w:rPr>
          <w:rFonts w:ascii="Arial" w:hAnsi="Arial" w:cs="Arial"/>
          <w:color w:val="000000"/>
          <w:shd w:val="clear" w:color="auto" w:fill="FFFFFF"/>
        </w:rPr>
        <w:t>i</w:t>
      </w:r>
      <w:r w:rsidR="007676BF">
        <w:rPr>
          <w:rFonts w:ascii="Arial" w:hAnsi="Arial" w:cs="Arial"/>
          <w:color w:val="000000"/>
          <w:shd w:val="clear" w:color="auto" w:fill="FFFFFF"/>
        </w:rPr>
        <w:t>dar</w:t>
      </w:r>
      <w:r w:rsidR="00AB642E">
        <w:rPr>
          <w:rFonts w:ascii="Arial" w:hAnsi="Arial" w:cs="Arial"/>
          <w:color w:val="000000"/>
          <w:shd w:val="clear" w:color="auto" w:fill="FFFFFF"/>
        </w:rPr>
        <w:t>®</w:t>
      </w:r>
      <w:r w:rsidR="00AB642E" w:rsidRPr="00187A1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B642E">
        <w:rPr>
          <w:rFonts w:ascii="Arial" w:hAnsi="Arial" w:cs="Arial"/>
          <w:color w:val="000000"/>
          <w:shd w:val="clear" w:color="auto" w:fill="FFFFFF"/>
        </w:rPr>
        <w:t>will</w:t>
      </w:r>
      <w:r w:rsidR="00AB642E" w:rsidRPr="00187A18">
        <w:rPr>
          <w:rFonts w:ascii="Arial" w:hAnsi="Arial" w:cs="Arial"/>
          <w:color w:val="000000"/>
          <w:shd w:val="clear" w:color="auto" w:fill="FFFFFF"/>
        </w:rPr>
        <w:t xml:space="preserve"> s</w:t>
      </w:r>
      <w:r w:rsidR="00AB642E">
        <w:rPr>
          <w:rFonts w:ascii="Arial" w:hAnsi="Arial" w:cs="Arial"/>
          <w:color w:val="000000"/>
          <w:shd w:val="clear" w:color="auto" w:fill="FFFFFF"/>
        </w:rPr>
        <w:t>ave the HSE money. This will help the HSE</w:t>
      </w:r>
      <w:r w:rsidR="00AB642E" w:rsidRPr="00187A18">
        <w:rPr>
          <w:rFonts w:ascii="Arial" w:hAnsi="Arial" w:cs="Arial"/>
          <w:color w:val="000000"/>
          <w:shd w:val="clear" w:color="auto" w:fill="FFFFFF"/>
        </w:rPr>
        <w:t xml:space="preserve"> give new innovative medicines to even more patients.</w:t>
      </w:r>
    </w:p>
    <w:p w14:paraId="4E4F9BDC" w14:textId="77777777" w:rsidR="002B04DB" w:rsidRPr="00337C44" w:rsidRDefault="002B04DB" w:rsidP="00337C44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5F1B2D46" w14:textId="76F1A5E7" w:rsidR="00957032" w:rsidRPr="00957032" w:rsidRDefault="00957032" w:rsidP="0055347E">
      <w:pPr>
        <w:pStyle w:val="Heading2"/>
        <w:spacing w:before="0" w:line="360" w:lineRule="auto"/>
        <w:rPr>
          <w:b/>
        </w:rPr>
      </w:pPr>
      <w:r>
        <w:rPr>
          <w:rFonts w:ascii="Arial" w:hAnsi="Arial" w:cs="Arial"/>
          <w:b/>
          <w:color w:val="0070C0"/>
          <w:sz w:val="22"/>
          <w:szCs w:val="22"/>
        </w:rPr>
        <w:t>Wha</w:t>
      </w:r>
      <w:r w:rsidR="00AB642E">
        <w:rPr>
          <w:rFonts w:ascii="Arial" w:hAnsi="Arial" w:cs="Arial"/>
          <w:b/>
          <w:color w:val="0070C0"/>
          <w:sz w:val="22"/>
          <w:szCs w:val="22"/>
        </w:rPr>
        <w:t>t does this mean for me?</w:t>
      </w:r>
    </w:p>
    <w:p w14:paraId="7D7AF27D" w14:textId="277142D5" w:rsidR="001175C2" w:rsidRDefault="00AB642E" w:rsidP="00957032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Because </w:t>
      </w:r>
      <w:r w:rsidR="007676BF">
        <w:rPr>
          <w:rFonts w:ascii="Arial" w:hAnsi="Arial" w:cs="Arial"/>
          <w:color w:val="000000"/>
          <w:shd w:val="clear" w:color="auto" w:fill="FFFFFF"/>
        </w:rPr>
        <w:t>Tetridar</w:t>
      </w:r>
      <w:r>
        <w:rPr>
          <w:rFonts w:ascii="Arial" w:hAnsi="Arial" w:cs="Arial"/>
          <w:color w:val="000000"/>
          <w:shd w:val="clear" w:color="auto" w:fill="FFFFFF"/>
        </w:rPr>
        <w:t>® and Forsteo® contain the same active medicine (teriparatide)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treatment for your osteoporosis remains unchanged.</w:t>
      </w:r>
    </w:p>
    <w:p w14:paraId="5BDE1D02" w14:textId="77777777" w:rsidR="001175C2" w:rsidRDefault="001175C2" w:rsidP="00957032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01B6554F" w14:textId="7285A14A" w:rsidR="001175C2" w:rsidRDefault="001175C2" w:rsidP="00957032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Like Forsteo®, </w:t>
      </w:r>
      <w:r w:rsidR="007676BF">
        <w:rPr>
          <w:rFonts w:ascii="Arial" w:hAnsi="Arial" w:cs="Arial"/>
          <w:color w:val="000000"/>
          <w:shd w:val="clear" w:color="auto" w:fill="FFFFFF"/>
        </w:rPr>
        <w:t>Tetridar</w:t>
      </w:r>
      <w:r>
        <w:rPr>
          <w:rFonts w:ascii="Arial" w:hAnsi="Arial" w:cs="Arial"/>
          <w:color w:val="000000"/>
          <w:shd w:val="clear" w:color="auto" w:fill="FFFFFF"/>
        </w:rPr>
        <w:t xml:space="preserve">®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is given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by subcutaneous injection. With Forsteo®, you received a new pre-filled pen each month. </w:t>
      </w:r>
      <w:r w:rsidR="00BA6993">
        <w:rPr>
          <w:rFonts w:ascii="Arial" w:hAnsi="Arial" w:cs="Arial"/>
          <w:color w:val="000000"/>
          <w:shd w:val="clear" w:color="auto" w:fill="FFFFFF"/>
        </w:rPr>
        <w:t xml:space="preserve">The same will happen with </w:t>
      </w:r>
      <w:r w:rsidR="007676BF">
        <w:rPr>
          <w:rFonts w:ascii="Arial" w:hAnsi="Arial" w:cs="Arial"/>
          <w:color w:val="000000"/>
          <w:shd w:val="clear" w:color="auto" w:fill="FFFFFF"/>
        </w:rPr>
        <w:t>Tetridar</w:t>
      </w:r>
      <w:r w:rsidR="00BA6993">
        <w:rPr>
          <w:rFonts w:ascii="Arial" w:hAnsi="Arial" w:cs="Arial"/>
          <w:color w:val="000000"/>
          <w:shd w:val="clear" w:color="auto" w:fill="FFFFFF"/>
        </w:rPr>
        <w:t>®; you will receive a new pre-filled pen each month.</w:t>
      </w:r>
    </w:p>
    <w:p w14:paraId="3D349FA3" w14:textId="77777777" w:rsidR="001175C2" w:rsidRDefault="001175C2" w:rsidP="00957032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45D7E4F6" w14:textId="0B898ED8" w:rsidR="001175C2" w:rsidRDefault="001175C2" w:rsidP="00957032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 xml:space="preserve">You will continue to inject </w:t>
      </w:r>
      <w:r w:rsidR="007676BF">
        <w:rPr>
          <w:rFonts w:ascii="Arial" w:hAnsi="Arial" w:cs="Arial"/>
          <w:color w:val="000000"/>
          <w:shd w:val="clear" w:color="auto" w:fill="FFFFFF"/>
        </w:rPr>
        <w:t>Tetridar</w:t>
      </w:r>
      <w:r>
        <w:rPr>
          <w:rFonts w:ascii="Arial" w:hAnsi="Arial" w:cs="Arial"/>
          <w:color w:val="000000"/>
          <w:shd w:val="clear" w:color="auto" w:fill="FFFFFF"/>
        </w:rPr>
        <w:t>® once a day, as you currently do with Forsteo®.</w:t>
      </w:r>
    </w:p>
    <w:p w14:paraId="6DF8CA33" w14:textId="77777777" w:rsidR="001175C2" w:rsidRDefault="001175C2" w:rsidP="00957032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30A4B4EA" w14:textId="3739AACB" w:rsidR="00957032" w:rsidRDefault="001175C2" w:rsidP="00957032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You will continue to get your repeat prescription from us, and you can collect </w:t>
      </w:r>
      <w:r w:rsidR="007676BF">
        <w:rPr>
          <w:rFonts w:ascii="Arial" w:hAnsi="Arial" w:cs="Arial"/>
          <w:color w:val="000000"/>
          <w:shd w:val="clear" w:color="auto" w:fill="FFFFFF"/>
        </w:rPr>
        <w:t>Tetridar</w:t>
      </w:r>
      <w:r>
        <w:rPr>
          <w:rFonts w:ascii="Arial" w:hAnsi="Arial" w:cs="Arial"/>
          <w:color w:val="000000"/>
          <w:shd w:val="clear" w:color="auto" w:fill="FFFFFF"/>
        </w:rPr>
        <w:t>® from the same pharmacy that provided you with Forsteo®.</w:t>
      </w:r>
    </w:p>
    <w:p w14:paraId="311559FF" w14:textId="77777777" w:rsidR="00543513" w:rsidRPr="00AC03FB" w:rsidRDefault="00543513" w:rsidP="00957032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5B246CFE" w14:textId="6D01695F" w:rsidR="00543513" w:rsidRPr="00AC03FB" w:rsidRDefault="00543513" w:rsidP="00543513">
      <w:pPr>
        <w:spacing w:after="0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  <w:r w:rsidRPr="00AC03FB">
        <w:rPr>
          <w:rFonts w:ascii="Arial" w:hAnsi="Arial" w:cs="Arial"/>
          <w:color w:val="000000"/>
          <w:shd w:val="clear" w:color="auto" w:fill="FFFFFF"/>
        </w:rPr>
        <w:t xml:space="preserve">Supports for patients prescribed </w:t>
      </w:r>
      <w:r w:rsidR="007676BF">
        <w:rPr>
          <w:rFonts w:ascii="Arial" w:hAnsi="Arial" w:cs="Arial"/>
          <w:color w:val="000000"/>
          <w:shd w:val="clear" w:color="auto" w:fill="FFFFFF"/>
        </w:rPr>
        <w:t>Tetridar</w:t>
      </w:r>
      <w:r>
        <w:rPr>
          <w:rFonts w:ascii="Arial" w:hAnsi="Arial" w:cs="Arial"/>
          <w:color w:val="000000"/>
          <w:shd w:val="clear" w:color="auto" w:fill="FFFFFF"/>
        </w:rPr>
        <w:t>®</w:t>
      </w:r>
      <w:r w:rsidRPr="00AC03FB">
        <w:rPr>
          <w:rFonts w:ascii="Arial" w:hAnsi="Arial" w:cs="Arial"/>
          <w:color w:val="000000"/>
          <w:shd w:val="clear" w:color="auto" w:fill="FFFFFF"/>
        </w:rPr>
        <w:t xml:space="preserve"> include:</w:t>
      </w:r>
    </w:p>
    <w:p w14:paraId="1F763015" w14:textId="460517BA" w:rsidR="00543513" w:rsidRPr="00AC03FB" w:rsidRDefault="00543513" w:rsidP="00543513">
      <w:pPr>
        <w:pStyle w:val="ListParagraph"/>
        <w:numPr>
          <w:ilvl w:val="0"/>
          <w:numId w:val="3"/>
        </w:numPr>
        <w:spacing w:after="100" w:afterAutospacing="1" w:line="360" w:lineRule="auto"/>
        <w:rPr>
          <w:rFonts w:ascii="Arial" w:hAnsi="Arial" w:cs="Arial"/>
          <w:color w:val="000000"/>
          <w:shd w:val="clear" w:color="auto" w:fill="FFFFFF"/>
        </w:rPr>
      </w:pPr>
      <w:r w:rsidRPr="00AC03FB">
        <w:rPr>
          <w:rFonts w:ascii="Arial" w:hAnsi="Arial" w:cs="Arial"/>
          <w:color w:val="000000"/>
          <w:shd w:val="clear" w:color="auto" w:fill="FFFFFF"/>
        </w:rPr>
        <w:t>nurse</w:t>
      </w:r>
      <w:r w:rsidR="00F74426">
        <w:rPr>
          <w:rFonts w:ascii="Arial" w:hAnsi="Arial" w:cs="Arial"/>
          <w:color w:val="000000"/>
          <w:shd w:val="clear" w:color="auto" w:fill="FFFFFF"/>
        </w:rPr>
        <w:t xml:space="preserve"> home</w:t>
      </w:r>
      <w:r w:rsidRPr="00AC03FB">
        <w:rPr>
          <w:rFonts w:ascii="Arial" w:hAnsi="Arial" w:cs="Arial"/>
          <w:color w:val="000000"/>
          <w:shd w:val="clear" w:color="auto" w:fill="FFFFFF"/>
        </w:rPr>
        <w:t xml:space="preserve"> visit to provide training on administering the injection</w:t>
      </w:r>
    </w:p>
    <w:p w14:paraId="141F4702" w14:textId="374C7B08" w:rsidR="00543513" w:rsidRPr="0061303E" w:rsidRDefault="00543513" w:rsidP="00543513">
      <w:pPr>
        <w:pStyle w:val="ListParagraph"/>
        <w:numPr>
          <w:ilvl w:val="0"/>
          <w:numId w:val="3"/>
        </w:numPr>
        <w:spacing w:after="100" w:afterAutospacing="1" w:line="360" w:lineRule="auto"/>
        <w:rPr>
          <w:rFonts w:ascii="Arial" w:hAnsi="Arial" w:cs="Arial"/>
          <w:color w:val="000000"/>
          <w:shd w:val="clear" w:color="auto" w:fill="FFFFFF"/>
        </w:rPr>
      </w:pPr>
      <w:r w:rsidRPr="0061303E">
        <w:rPr>
          <w:rFonts w:ascii="Arial" w:hAnsi="Arial" w:cs="Arial"/>
          <w:color w:val="000000"/>
          <w:shd w:val="clear" w:color="auto" w:fill="FFFFFF"/>
        </w:rPr>
        <w:t>supply of sharps bins</w:t>
      </w:r>
    </w:p>
    <w:p w14:paraId="3DCF4D23" w14:textId="7D73CDA5" w:rsidR="00543513" w:rsidRPr="00AC03FB" w:rsidRDefault="00543513" w:rsidP="00543513">
      <w:pPr>
        <w:pStyle w:val="ListParagraph"/>
        <w:numPr>
          <w:ilvl w:val="0"/>
          <w:numId w:val="2"/>
        </w:numPr>
        <w:spacing w:after="100" w:afterAutospacing="1" w:line="360" w:lineRule="auto"/>
        <w:rPr>
          <w:rFonts w:ascii="Arial" w:hAnsi="Arial" w:cs="Arial"/>
          <w:color w:val="000000"/>
          <w:shd w:val="clear" w:color="auto" w:fill="FFFFFF"/>
        </w:rPr>
      </w:pPr>
      <w:r w:rsidRPr="00AC03FB">
        <w:rPr>
          <w:rFonts w:ascii="Arial" w:hAnsi="Arial" w:cs="Arial"/>
          <w:color w:val="000000"/>
          <w:shd w:val="clear" w:color="auto" w:fill="FFFFFF"/>
        </w:rPr>
        <w:t>provision of product information</w:t>
      </w:r>
      <w:r w:rsidR="0058644A">
        <w:rPr>
          <w:rFonts w:ascii="Arial" w:hAnsi="Arial" w:cs="Arial"/>
          <w:color w:val="000000"/>
          <w:shd w:val="clear" w:color="auto" w:fill="FFFFFF"/>
        </w:rPr>
        <w:t>.</w:t>
      </w:r>
    </w:p>
    <w:p w14:paraId="54CEFB73" w14:textId="3AB15A6F" w:rsidR="00543513" w:rsidRDefault="00543513" w:rsidP="00543513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We</w:t>
      </w:r>
      <w:r w:rsidRPr="00AC03FB">
        <w:rPr>
          <w:rFonts w:ascii="Arial" w:hAnsi="Arial" w:cs="Arial"/>
          <w:color w:val="000000"/>
          <w:shd w:val="clear" w:color="auto" w:fill="FFFFFF"/>
        </w:rPr>
        <w:t xml:space="preserve"> will register you for these services.</w:t>
      </w:r>
    </w:p>
    <w:p w14:paraId="39BD50B9" w14:textId="77777777" w:rsidR="00957032" w:rsidRPr="00AC03FB" w:rsidRDefault="00957032" w:rsidP="00957032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2ECE8946" w14:textId="18152911" w:rsidR="00957032" w:rsidRPr="00C0177C" w:rsidRDefault="001175C2" w:rsidP="00543513">
      <w:pPr>
        <w:pStyle w:val="Heading2"/>
        <w:spacing w:before="0" w:line="360" w:lineRule="auto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Will any additional monitoring be required</w:t>
      </w:r>
      <w:r w:rsidR="00957032" w:rsidRPr="00C0177C">
        <w:rPr>
          <w:rFonts w:ascii="Arial" w:hAnsi="Arial" w:cs="Arial"/>
          <w:b/>
          <w:color w:val="0070C0"/>
          <w:sz w:val="22"/>
          <w:szCs w:val="22"/>
        </w:rPr>
        <w:t>?</w:t>
      </w:r>
    </w:p>
    <w:p w14:paraId="73A9513B" w14:textId="2CBC167D" w:rsidR="001175C2" w:rsidRDefault="001175C2" w:rsidP="00337C44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We are not required to make any additional safety checks in patients who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are switched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to </w:t>
      </w:r>
      <w:r w:rsidR="007676BF">
        <w:rPr>
          <w:rFonts w:ascii="Arial" w:hAnsi="Arial" w:cs="Arial"/>
          <w:color w:val="000000"/>
          <w:shd w:val="clear" w:color="auto" w:fill="FFFFFF"/>
        </w:rPr>
        <w:t>Tetridar</w:t>
      </w:r>
      <w:r>
        <w:rPr>
          <w:rFonts w:ascii="Arial" w:hAnsi="Arial" w:cs="Arial"/>
          <w:color w:val="000000"/>
          <w:shd w:val="clear" w:color="auto" w:fill="FFFFFF"/>
        </w:rPr>
        <w:t xml:space="preserve">® but we still plan to monitor every patient who switches. </w:t>
      </w:r>
      <w:proofErr w:type="gramStart"/>
      <w:r w:rsidRPr="00F076FC">
        <w:rPr>
          <w:rFonts w:ascii="Arial" w:hAnsi="Arial" w:cs="Arial"/>
          <w:color w:val="000000"/>
          <w:highlight w:val="yellow"/>
          <w:shd w:val="clear" w:color="auto" w:fill="FFFFFF"/>
        </w:rPr>
        <w:t>You will be contacted by a member of our team</w:t>
      </w:r>
      <w:proofErr w:type="gramEnd"/>
      <w:r w:rsidRPr="00F076FC">
        <w:rPr>
          <w:rFonts w:ascii="Arial" w:hAnsi="Arial" w:cs="Arial"/>
          <w:color w:val="000000"/>
          <w:highlight w:val="yellow"/>
          <w:shd w:val="clear" w:color="auto" w:fill="FFFFFF"/>
        </w:rPr>
        <w:t xml:space="preserve"> four weeks after you switch so that we can check that </w:t>
      </w:r>
      <w:r w:rsidR="007676BF">
        <w:rPr>
          <w:rFonts w:ascii="Arial" w:hAnsi="Arial" w:cs="Arial"/>
          <w:color w:val="000000"/>
          <w:highlight w:val="yellow"/>
          <w:shd w:val="clear" w:color="auto" w:fill="FFFFFF"/>
        </w:rPr>
        <w:t>Tetridar</w:t>
      </w:r>
      <w:r w:rsidRPr="00F076FC">
        <w:rPr>
          <w:rFonts w:ascii="Arial" w:hAnsi="Arial" w:cs="Arial"/>
          <w:color w:val="000000"/>
          <w:highlight w:val="yellow"/>
          <w:shd w:val="clear" w:color="auto" w:fill="FFFFFF"/>
        </w:rPr>
        <w:t>® is working just as well as Forsteo® and to follow-up on any issues you may have encountered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549840D3" w14:textId="4EF3B1FD" w:rsidR="00BD41A1" w:rsidRDefault="00BD41A1" w:rsidP="00337C44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7600225B" w14:textId="46B794BF" w:rsidR="00BD41A1" w:rsidRDefault="00BD41A1" w:rsidP="00337C44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If you do have a problem with </w:t>
      </w:r>
      <w:r w:rsidR="007676BF">
        <w:rPr>
          <w:rFonts w:ascii="Arial" w:hAnsi="Arial" w:cs="Arial"/>
          <w:color w:val="000000"/>
          <w:shd w:val="clear" w:color="auto" w:fill="FFFFFF"/>
        </w:rPr>
        <w:t>Tetridar</w:t>
      </w:r>
      <w:r>
        <w:rPr>
          <w:rFonts w:ascii="Arial" w:hAnsi="Arial" w:cs="Arial"/>
          <w:color w:val="000000"/>
          <w:shd w:val="clear" w:color="auto" w:fill="FFFFFF"/>
        </w:rPr>
        <w:t xml:space="preserve">®, for example having trouble using the injection device or experiencing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side-effects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, we can help you </w:t>
      </w:r>
      <w:r w:rsidR="00DD003E">
        <w:rPr>
          <w:rFonts w:ascii="Arial" w:hAnsi="Arial" w:cs="Arial"/>
          <w:color w:val="000000"/>
          <w:shd w:val="clear" w:color="auto" w:fill="FFFFFF"/>
        </w:rPr>
        <w:t>to</w:t>
      </w:r>
      <w:r>
        <w:rPr>
          <w:rFonts w:ascii="Arial" w:hAnsi="Arial" w:cs="Arial"/>
          <w:color w:val="000000"/>
          <w:shd w:val="clear" w:color="auto" w:fill="FFFFFF"/>
        </w:rPr>
        <w:t xml:space="preserve"> manage these.</w:t>
      </w:r>
    </w:p>
    <w:p w14:paraId="03D47F4A" w14:textId="77777777" w:rsidR="00957032" w:rsidRPr="00BD41A1" w:rsidRDefault="00957032" w:rsidP="00BD41A1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5060F1D7" w14:textId="2C78A39A" w:rsidR="00BD41A1" w:rsidRPr="00BD41A1" w:rsidRDefault="00BD41A1" w:rsidP="00543513">
      <w:pPr>
        <w:pStyle w:val="Heading2"/>
        <w:spacing w:before="0" w:line="360" w:lineRule="auto"/>
        <w:contextualSpacing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What if I have further questions</w:t>
      </w:r>
      <w:r w:rsidR="00957032" w:rsidRPr="00AC03FB">
        <w:rPr>
          <w:rFonts w:ascii="Arial" w:hAnsi="Arial" w:cs="Arial"/>
          <w:b/>
          <w:color w:val="0070C0"/>
          <w:sz w:val="22"/>
          <w:szCs w:val="22"/>
        </w:rPr>
        <w:t>?</w:t>
      </w:r>
    </w:p>
    <w:p w14:paraId="1DE8A485" w14:textId="0BD24D57" w:rsidR="00957032" w:rsidRPr="00BD41A1" w:rsidRDefault="00BD41A1" w:rsidP="00BD41A1">
      <w:pPr>
        <w:spacing w:after="0" w:line="360" w:lineRule="auto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If you have concerns about switching to </w:t>
      </w:r>
      <w:r w:rsidR="007676BF">
        <w:rPr>
          <w:rFonts w:ascii="Arial" w:hAnsi="Arial" w:cs="Arial"/>
          <w:color w:val="000000"/>
          <w:shd w:val="clear" w:color="auto" w:fill="FFFFFF"/>
        </w:rPr>
        <w:t>Tetridar</w:t>
      </w:r>
      <w:r>
        <w:rPr>
          <w:rFonts w:ascii="Arial" w:hAnsi="Arial" w:cs="Arial"/>
          <w:color w:val="000000"/>
          <w:shd w:val="clear" w:color="auto" w:fill="FFFFFF"/>
        </w:rPr>
        <w:t xml:space="preserve">®, we are here to help. Please ask </w:t>
      </w:r>
      <w:r w:rsidRPr="00F076FC">
        <w:rPr>
          <w:rFonts w:ascii="Arial" w:hAnsi="Arial" w:cs="Arial"/>
          <w:color w:val="000000"/>
          <w:highlight w:val="yellow"/>
          <w:shd w:val="clear" w:color="auto" w:fill="FFFFFF"/>
        </w:rPr>
        <w:t>&lt;insert name of relevant clinical team member&gt;</w:t>
      </w:r>
      <w:r>
        <w:rPr>
          <w:rFonts w:ascii="Arial" w:hAnsi="Arial" w:cs="Arial"/>
          <w:color w:val="000000"/>
          <w:shd w:val="clear" w:color="auto" w:fill="FFFFFF"/>
        </w:rPr>
        <w:t>. If necessary, they will arrange an appointment with one of the doctors to answer any further questions you may have.</w:t>
      </w:r>
    </w:p>
    <w:p w14:paraId="28C0052A" w14:textId="77777777" w:rsidR="00EF5F2F" w:rsidRPr="003F4B2E" w:rsidRDefault="00EF5F2F" w:rsidP="00BD41A1">
      <w:pPr>
        <w:pStyle w:val="ListParagraph"/>
        <w:spacing w:after="0" w:line="360" w:lineRule="auto"/>
        <w:ind w:left="0"/>
        <w:rPr>
          <w:rFonts w:ascii="Arial" w:hAnsi="Arial" w:cs="Arial"/>
          <w:color w:val="000000"/>
          <w:shd w:val="clear" w:color="auto" w:fill="FFFFFF"/>
        </w:rPr>
      </w:pPr>
    </w:p>
    <w:p w14:paraId="6A48F4A5" w14:textId="1A0729C1" w:rsidR="00957032" w:rsidRPr="00AC03FB" w:rsidRDefault="00BD41A1" w:rsidP="00957032">
      <w:pPr>
        <w:pStyle w:val="Heading2"/>
        <w:spacing w:before="0" w:line="360" w:lineRule="auto"/>
        <w:contextualSpacing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70C0"/>
          <w:sz w:val="22"/>
          <w:szCs w:val="22"/>
        </w:rPr>
        <w:t>Contact us</w:t>
      </w:r>
      <w:r w:rsidR="00957032" w:rsidRPr="00AC03FB">
        <w:rPr>
          <w:rFonts w:ascii="Arial" w:hAnsi="Arial" w:cs="Arial"/>
          <w:b/>
          <w:color w:val="0070C0"/>
          <w:sz w:val="22"/>
          <w:szCs w:val="22"/>
        </w:rPr>
        <w:t xml:space="preserve"> </w:t>
      </w:r>
    </w:p>
    <w:p w14:paraId="04BB614A" w14:textId="77777777" w:rsidR="00BD41A1" w:rsidRDefault="00BD41A1" w:rsidP="00BD41A1">
      <w:pPr>
        <w:spacing w:after="100" w:afterAutospacing="1" w:line="360" w:lineRule="auto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If you have any further questions, please contact the </w:t>
      </w:r>
      <w:r w:rsidRPr="00F076FC">
        <w:rPr>
          <w:rFonts w:ascii="Arial" w:hAnsi="Arial" w:cs="Arial"/>
          <w:color w:val="000000"/>
          <w:highlight w:val="yellow"/>
          <w:shd w:val="clear" w:color="auto" w:fill="FFFFFF"/>
        </w:rPr>
        <w:t xml:space="preserve">&lt;insert name of clinic/service&gt; on </w:t>
      </w:r>
      <w:r w:rsidRPr="00F74426">
        <w:rPr>
          <w:rFonts w:ascii="Arial" w:hAnsi="Arial" w:cs="Arial"/>
          <w:color w:val="000000"/>
          <w:highlight w:val="yellow"/>
          <w:shd w:val="clear" w:color="auto" w:fill="FFFFFF"/>
        </w:rPr>
        <w:t>&lt;insert number + staff member name&gt; (</w:t>
      </w:r>
      <w:r w:rsidRPr="00F076FC">
        <w:rPr>
          <w:rFonts w:ascii="Arial" w:hAnsi="Arial" w:cs="Arial"/>
          <w:color w:val="000000"/>
          <w:highlight w:val="yellow"/>
          <w:shd w:val="clear" w:color="auto" w:fill="FFFFFF"/>
        </w:rPr>
        <w:t xml:space="preserve">Monday to Friday, 9am to 5pm) or you can email </w:t>
      </w:r>
      <w:hyperlink r:id="rId7" w:history="1">
        <w:r w:rsidRPr="00F076FC">
          <w:rPr>
            <w:rStyle w:val="Hyperlink"/>
            <w:rFonts w:ascii="Arial" w:hAnsi="Arial" w:cs="Arial"/>
            <w:highlight w:val="yellow"/>
            <w:shd w:val="clear" w:color="auto" w:fill="FFFFFF"/>
          </w:rPr>
          <w:t>insertemail@xxxx.ie</w:t>
        </w:r>
      </w:hyperlink>
      <w:r w:rsidRPr="00F076FC">
        <w:rPr>
          <w:rFonts w:ascii="Arial" w:hAnsi="Arial" w:cs="Arial"/>
          <w:color w:val="000000"/>
          <w:highlight w:val="yellow"/>
          <w:shd w:val="clear" w:color="auto" w:fill="FFFFFF"/>
        </w:rPr>
        <w:t>.</w:t>
      </w:r>
    </w:p>
    <w:p w14:paraId="0C4C279A" w14:textId="77777777" w:rsidR="004640F4" w:rsidRDefault="004640F4" w:rsidP="00957032">
      <w:pPr>
        <w:spacing w:after="0" w:line="360" w:lineRule="auto"/>
        <w:contextualSpacing/>
        <w:rPr>
          <w:rFonts w:ascii="Arial" w:hAnsi="Arial" w:cs="Arial"/>
          <w:b/>
        </w:rPr>
      </w:pPr>
    </w:p>
    <w:p w14:paraId="4C384789" w14:textId="1DEDAFF1" w:rsidR="004640F4" w:rsidRPr="00C0177C" w:rsidRDefault="004640F4" w:rsidP="004640F4">
      <w:pPr>
        <w:pStyle w:val="Heading2"/>
        <w:spacing w:before="0" w:line="360" w:lineRule="auto"/>
        <w:contextualSpacing/>
        <w:rPr>
          <w:rFonts w:ascii="Arial" w:hAnsi="Arial" w:cs="Arial"/>
          <w:b/>
          <w:color w:val="0070C0"/>
          <w:sz w:val="22"/>
          <w:szCs w:val="22"/>
        </w:rPr>
      </w:pPr>
      <w:r w:rsidRPr="00C0177C">
        <w:rPr>
          <w:rFonts w:ascii="Arial" w:hAnsi="Arial" w:cs="Arial"/>
          <w:b/>
          <w:color w:val="0070C0"/>
          <w:sz w:val="22"/>
          <w:szCs w:val="22"/>
        </w:rPr>
        <w:t>Wher</w:t>
      </w:r>
      <w:r>
        <w:rPr>
          <w:rFonts w:ascii="Arial" w:hAnsi="Arial" w:cs="Arial"/>
          <w:b/>
          <w:color w:val="0070C0"/>
          <w:sz w:val="22"/>
          <w:szCs w:val="22"/>
        </w:rPr>
        <w:t xml:space="preserve">e can I get more information on </w:t>
      </w:r>
      <w:r w:rsidR="007676BF">
        <w:rPr>
          <w:rFonts w:ascii="Arial" w:hAnsi="Arial" w:cs="Arial"/>
          <w:b/>
          <w:color w:val="0070C0"/>
          <w:sz w:val="22"/>
          <w:szCs w:val="22"/>
        </w:rPr>
        <w:t>hybrid medicines</w:t>
      </w:r>
      <w:r w:rsidRPr="00C0177C">
        <w:rPr>
          <w:rFonts w:ascii="Arial" w:hAnsi="Arial" w:cs="Arial"/>
          <w:b/>
          <w:color w:val="0070C0"/>
          <w:sz w:val="22"/>
          <w:szCs w:val="22"/>
        </w:rPr>
        <w:t>?</w:t>
      </w:r>
    </w:p>
    <w:p w14:paraId="22E05968" w14:textId="42835FE8" w:rsidR="004640F4" w:rsidRDefault="004640F4" w:rsidP="004640F4">
      <w:pPr>
        <w:spacing w:after="100" w:afterAutospacing="1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  <w:r w:rsidRPr="00AC03FB">
        <w:rPr>
          <w:rFonts w:ascii="Arial" w:hAnsi="Arial" w:cs="Arial"/>
          <w:color w:val="000000"/>
          <w:shd w:val="clear" w:color="auto" w:fill="FFFFFF"/>
        </w:rPr>
        <w:t>Further information for patients</w:t>
      </w:r>
      <w:r>
        <w:rPr>
          <w:rFonts w:ascii="Arial" w:hAnsi="Arial" w:cs="Arial"/>
          <w:color w:val="000000"/>
          <w:shd w:val="clear" w:color="auto" w:fill="FFFFFF"/>
        </w:rPr>
        <w:t xml:space="preserve"> on </w:t>
      </w:r>
      <w:r w:rsidR="007676BF">
        <w:rPr>
          <w:rFonts w:ascii="Arial" w:hAnsi="Arial" w:cs="Arial"/>
          <w:color w:val="000000"/>
          <w:shd w:val="clear" w:color="auto" w:fill="FFFFFF"/>
        </w:rPr>
        <w:t xml:space="preserve">hybrid </w:t>
      </w:r>
      <w:r>
        <w:rPr>
          <w:rFonts w:ascii="Arial" w:hAnsi="Arial" w:cs="Arial"/>
          <w:color w:val="000000"/>
          <w:shd w:val="clear" w:color="auto" w:fill="FFFFFF"/>
        </w:rPr>
        <w:t>medicines</w:t>
      </w:r>
      <w:r w:rsidRPr="00AC03FB">
        <w:rPr>
          <w:rFonts w:ascii="Arial" w:hAnsi="Arial" w:cs="Arial"/>
          <w:color w:val="000000"/>
          <w:shd w:val="clear" w:color="auto" w:fill="FFFFFF"/>
        </w:rPr>
        <w:t xml:space="preserve"> is available on the following website</w:t>
      </w:r>
      <w:r>
        <w:rPr>
          <w:rFonts w:ascii="Arial" w:hAnsi="Arial" w:cs="Arial"/>
          <w:color w:val="000000"/>
          <w:shd w:val="clear" w:color="auto" w:fill="FFFFFF"/>
        </w:rPr>
        <w:t>s</w:t>
      </w:r>
      <w:r w:rsidRPr="00AC03FB">
        <w:rPr>
          <w:rFonts w:ascii="Arial" w:hAnsi="Arial" w:cs="Arial"/>
          <w:color w:val="000000"/>
          <w:shd w:val="clear" w:color="auto" w:fill="FFFFFF"/>
        </w:rPr>
        <w:t xml:space="preserve">: </w:t>
      </w:r>
    </w:p>
    <w:p w14:paraId="4DACB645" w14:textId="5CB76435" w:rsidR="004640F4" w:rsidRPr="004640F4" w:rsidRDefault="004640F4" w:rsidP="004640F4">
      <w:pPr>
        <w:spacing w:after="100" w:afterAutospacing="1" w:line="360" w:lineRule="auto"/>
        <w:contextualSpacing/>
        <w:rPr>
          <w:rFonts w:ascii="Arial" w:hAnsi="Arial" w:cs="Arial"/>
          <w:b/>
          <w:color w:val="000000"/>
          <w:shd w:val="clear" w:color="auto" w:fill="FFFFFF"/>
        </w:rPr>
      </w:pPr>
      <w:r w:rsidRPr="004640F4">
        <w:rPr>
          <w:rFonts w:ascii="Arial" w:hAnsi="Arial" w:cs="Arial"/>
          <w:b/>
          <w:color w:val="000000"/>
          <w:shd w:val="clear" w:color="auto" w:fill="FFFFFF"/>
        </w:rPr>
        <w:t xml:space="preserve">European Medicines Agency: </w:t>
      </w:r>
      <w:hyperlink r:id="rId8" w:history="1">
        <w:r w:rsidR="007676BF" w:rsidRPr="007676BF">
          <w:rPr>
            <w:rStyle w:val="Hyperlink"/>
            <w:rFonts w:ascii="Arial" w:hAnsi="Arial" w:cs="Arial"/>
            <w:shd w:val="clear" w:color="auto" w:fill="FFFFFF"/>
          </w:rPr>
          <w:t>https://www.ema.europa.eu/en/human-regulatory-overview/marketing-authorisation/generic-hybrid-medicines</w:t>
        </w:r>
      </w:hyperlink>
    </w:p>
    <w:p w14:paraId="78B24DB3" w14:textId="77777777" w:rsidR="004640F4" w:rsidRDefault="004640F4" w:rsidP="004640F4">
      <w:pPr>
        <w:spacing w:after="100" w:afterAutospacing="1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</w:p>
    <w:p w14:paraId="573EA4C1" w14:textId="7E87C4B7" w:rsidR="00957032" w:rsidRPr="00AC03FB" w:rsidRDefault="001C4283" w:rsidP="00957032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Further information on osteoporosis, including the medicines that are used in its treatment, is available on the website of the </w:t>
      </w:r>
      <w:r w:rsidRPr="001C4283">
        <w:rPr>
          <w:rFonts w:ascii="Arial" w:hAnsi="Arial" w:cs="Arial"/>
          <w:b/>
        </w:rPr>
        <w:t>Irish Osteoporosis Society</w:t>
      </w:r>
      <w:r>
        <w:rPr>
          <w:rFonts w:ascii="Arial" w:hAnsi="Arial" w:cs="Arial"/>
        </w:rPr>
        <w:t xml:space="preserve">: </w:t>
      </w:r>
      <w:hyperlink r:id="rId9" w:history="1">
        <w:r w:rsidRPr="001856EE">
          <w:rPr>
            <w:rStyle w:val="Hyperlink"/>
            <w:rFonts w:ascii="Arial" w:hAnsi="Arial" w:cs="Arial"/>
          </w:rPr>
          <w:t>www.irishosteoporosis.ie</w:t>
        </w:r>
      </w:hyperlink>
      <w:r>
        <w:rPr>
          <w:rFonts w:ascii="Arial" w:hAnsi="Arial" w:cs="Arial"/>
        </w:rPr>
        <w:t xml:space="preserve"> </w:t>
      </w:r>
    </w:p>
    <w:p w14:paraId="194367D1" w14:textId="77777777" w:rsidR="003B5654" w:rsidRDefault="00896101"/>
    <w:sectPr w:rsidR="003B5654" w:rsidSect="00F74426">
      <w:headerReference w:type="default" r:id="rId10"/>
      <w:footerReference w:type="default" r:id="rId11"/>
      <w:pgSz w:w="11906" w:h="16838"/>
      <w:pgMar w:top="1258" w:right="1440" w:bottom="1440" w:left="1440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DDAB1" w14:textId="77777777" w:rsidR="003E0DAC" w:rsidRDefault="003E0DAC">
      <w:pPr>
        <w:spacing w:after="0" w:line="240" w:lineRule="auto"/>
      </w:pPr>
      <w:r>
        <w:separator/>
      </w:r>
    </w:p>
  </w:endnote>
  <w:endnote w:type="continuationSeparator" w:id="0">
    <w:p w14:paraId="69C0CB9C" w14:textId="77777777" w:rsidR="003E0DAC" w:rsidRDefault="003E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37A6D" w14:textId="582C7C39" w:rsidR="008E2E9F" w:rsidRDefault="00F74426">
    <w:pPr>
      <w:pStyle w:val="Footer"/>
    </w:pPr>
    <w:r>
      <w:t>MMP Version 1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896101">
      <w:rPr>
        <w:noProof/>
      </w:rPr>
      <w:t>3</w:t>
    </w:r>
    <w:r>
      <w:rPr>
        <w:noProof/>
      </w:rPr>
      <w:fldChar w:fldCharType="end"/>
    </w:r>
    <w:r>
      <w:ptab w:relativeTo="margin" w:alignment="right" w:leader="none"/>
    </w:r>
    <w:r w:rsidR="00C92C74">
      <w:t>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B4DD1" w14:textId="77777777" w:rsidR="003E0DAC" w:rsidRDefault="003E0DAC">
      <w:pPr>
        <w:spacing w:after="0" w:line="240" w:lineRule="auto"/>
      </w:pPr>
      <w:r>
        <w:separator/>
      </w:r>
    </w:p>
  </w:footnote>
  <w:footnote w:type="continuationSeparator" w:id="0">
    <w:p w14:paraId="052194A8" w14:textId="77777777" w:rsidR="003E0DAC" w:rsidRDefault="003E0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AFF52" w14:textId="3AA6D239" w:rsidR="00AA15FB" w:rsidRPr="00B4257C" w:rsidRDefault="00F74426" w:rsidP="009A724B">
    <w:pPr>
      <w:spacing w:after="0" w:line="240" w:lineRule="auto"/>
      <w:contextualSpacing/>
      <w:rPr>
        <w:rFonts w:ascii="Calibri" w:hAnsi="Calibri" w:cs="Arial"/>
        <w:b/>
        <w:color w:val="FF0000"/>
        <w:szCs w:val="32"/>
        <w:shd w:val="clear" w:color="auto" w:fill="FFFFFF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CDB97B2" wp14:editId="6BA2B185">
          <wp:simplePos x="0" y="0"/>
          <wp:positionH relativeFrom="column">
            <wp:posOffset>3810000</wp:posOffset>
          </wp:positionH>
          <wp:positionV relativeFrom="paragraph">
            <wp:posOffset>171450</wp:posOffset>
          </wp:positionV>
          <wp:extent cx="1866900" cy="4191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789DA97" wp14:editId="74B3B517">
          <wp:simplePos x="0" y="0"/>
          <wp:positionH relativeFrom="column">
            <wp:posOffset>-209550</wp:posOffset>
          </wp:positionH>
          <wp:positionV relativeFrom="paragraph">
            <wp:posOffset>25400</wp:posOffset>
          </wp:positionV>
          <wp:extent cx="933450" cy="71067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710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7032">
      <w:rPr>
        <w:rFonts w:ascii="Calibri" w:hAnsi="Calibri" w:cs="Arial"/>
        <w:b/>
        <w:color w:val="FF0000"/>
        <w:szCs w:val="32"/>
        <w:shd w:val="clear" w:color="auto" w:fill="FFFFFF"/>
      </w:rPr>
      <w:t xml:space="preserve">                                                                                                                                         </w:t>
    </w:r>
    <w:r w:rsidR="00957032">
      <w:rPr>
        <w:noProof/>
        <w:lang w:eastAsia="en-IE"/>
      </w:rPr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3E29"/>
    <w:multiLevelType w:val="hybridMultilevel"/>
    <w:tmpl w:val="253A64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63B73"/>
    <w:multiLevelType w:val="hybridMultilevel"/>
    <w:tmpl w:val="DA3A64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2092B"/>
    <w:multiLevelType w:val="hybridMultilevel"/>
    <w:tmpl w:val="DEA4B3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A06C2"/>
    <w:multiLevelType w:val="hybridMultilevel"/>
    <w:tmpl w:val="1DAA66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D16CB"/>
    <w:multiLevelType w:val="hybridMultilevel"/>
    <w:tmpl w:val="A46408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014FA"/>
    <w:multiLevelType w:val="hybridMultilevel"/>
    <w:tmpl w:val="EB92D2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83556"/>
    <w:multiLevelType w:val="hybridMultilevel"/>
    <w:tmpl w:val="E51C0D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32"/>
    <w:rsid w:val="00020E40"/>
    <w:rsid w:val="00026A1A"/>
    <w:rsid w:val="000855C3"/>
    <w:rsid w:val="000A5712"/>
    <w:rsid w:val="000E7D7E"/>
    <w:rsid w:val="0010226D"/>
    <w:rsid w:val="001175C2"/>
    <w:rsid w:val="00134117"/>
    <w:rsid w:val="001371F5"/>
    <w:rsid w:val="001838D6"/>
    <w:rsid w:val="001C4283"/>
    <w:rsid w:val="002B0459"/>
    <w:rsid w:val="002B04DB"/>
    <w:rsid w:val="0030405A"/>
    <w:rsid w:val="00337C44"/>
    <w:rsid w:val="00361CC9"/>
    <w:rsid w:val="00373046"/>
    <w:rsid w:val="0038729A"/>
    <w:rsid w:val="003E0DAC"/>
    <w:rsid w:val="003F4B2E"/>
    <w:rsid w:val="004060F8"/>
    <w:rsid w:val="004172CF"/>
    <w:rsid w:val="004363EA"/>
    <w:rsid w:val="004627D1"/>
    <w:rsid w:val="004640F4"/>
    <w:rsid w:val="00466823"/>
    <w:rsid w:val="004C64A2"/>
    <w:rsid w:val="00501259"/>
    <w:rsid w:val="005037B4"/>
    <w:rsid w:val="00511475"/>
    <w:rsid w:val="005312B5"/>
    <w:rsid w:val="00543513"/>
    <w:rsid w:val="0055347E"/>
    <w:rsid w:val="00577309"/>
    <w:rsid w:val="0058644A"/>
    <w:rsid w:val="005D49B1"/>
    <w:rsid w:val="005D5EEB"/>
    <w:rsid w:val="0061303E"/>
    <w:rsid w:val="006874F7"/>
    <w:rsid w:val="006D6EA1"/>
    <w:rsid w:val="006E3630"/>
    <w:rsid w:val="006E6D0B"/>
    <w:rsid w:val="00717AF9"/>
    <w:rsid w:val="007319F2"/>
    <w:rsid w:val="007441B2"/>
    <w:rsid w:val="00752ABD"/>
    <w:rsid w:val="007676BF"/>
    <w:rsid w:val="00771778"/>
    <w:rsid w:val="007D141E"/>
    <w:rsid w:val="007E2D32"/>
    <w:rsid w:val="00811133"/>
    <w:rsid w:val="00825F67"/>
    <w:rsid w:val="00830F46"/>
    <w:rsid w:val="00833E6A"/>
    <w:rsid w:val="00873DAD"/>
    <w:rsid w:val="008959F0"/>
    <w:rsid w:val="00896101"/>
    <w:rsid w:val="008E7746"/>
    <w:rsid w:val="00923A66"/>
    <w:rsid w:val="00937FB0"/>
    <w:rsid w:val="00957032"/>
    <w:rsid w:val="0096282B"/>
    <w:rsid w:val="00974240"/>
    <w:rsid w:val="009B2B79"/>
    <w:rsid w:val="009B5FD8"/>
    <w:rsid w:val="00A13EBD"/>
    <w:rsid w:val="00A301E2"/>
    <w:rsid w:val="00AA31C6"/>
    <w:rsid w:val="00AB642E"/>
    <w:rsid w:val="00AC33C8"/>
    <w:rsid w:val="00B01E42"/>
    <w:rsid w:val="00B427CD"/>
    <w:rsid w:val="00BA6993"/>
    <w:rsid w:val="00BD41A1"/>
    <w:rsid w:val="00BE172F"/>
    <w:rsid w:val="00C0177C"/>
    <w:rsid w:val="00C17462"/>
    <w:rsid w:val="00C2404E"/>
    <w:rsid w:val="00C2509B"/>
    <w:rsid w:val="00C80D0A"/>
    <w:rsid w:val="00C92C74"/>
    <w:rsid w:val="00CD18CB"/>
    <w:rsid w:val="00D11504"/>
    <w:rsid w:val="00D23D6E"/>
    <w:rsid w:val="00D437CF"/>
    <w:rsid w:val="00D732BB"/>
    <w:rsid w:val="00DA28BC"/>
    <w:rsid w:val="00DD003E"/>
    <w:rsid w:val="00DE3CD1"/>
    <w:rsid w:val="00E17928"/>
    <w:rsid w:val="00E26513"/>
    <w:rsid w:val="00E54C73"/>
    <w:rsid w:val="00ED69D9"/>
    <w:rsid w:val="00EF5F2F"/>
    <w:rsid w:val="00F076FC"/>
    <w:rsid w:val="00F45A53"/>
    <w:rsid w:val="00F74426"/>
    <w:rsid w:val="00F807B0"/>
    <w:rsid w:val="00F86E44"/>
    <w:rsid w:val="00F87840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25818C4"/>
  <w15:docId w15:val="{DF895477-C240-44B6-9390-1D15422E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032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7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70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70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5703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5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703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57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032"/>
  </w:style>
  <w:style w:type="character" w:styleId="CommentReference">
    <w:name w:val="annotation reference"/>
    <w:basedOn w:val="DefaultParagraphFont"/>
    <w:uiPriority w:val="99"/>
    <w:semiHidden/>
    <w:unhideWhenUsed/>
    <w:rsid w:val="009570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0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03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03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570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73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04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01E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F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human-regulatory-overview/marketing-authorisation/generic-hybrid-medicin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sertemail@xxxx.i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rishosteoporosis.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Bernard Duggan</dc:creator>
  <cp:lastModifiedBy>Bernard Duggan</cp:lastModifiedBy>
  <cp:revision>7</cp:revision>
  <cp:lastPrinted>2020-01-23T10:14:00Z</cp:lastPrinted>
  <dcterms:created xsi:type="dcterms:W3CDTF">2024-04-29T11:18:00Z</dcterms:created>
  <dcterms:modified xsi:type="dcterms:W3CDTF">2024-04-30T08:33:00Z</dcterms:modified>
</cp:coreProperties>
</file>