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67B8" w14:textId="2466FB83" w:rsidR="0034654C" w:rsidRPr="004A3EB4" w:rsidRDefault="00D81C8F">
      <w:pPr>
        <w:rPr>
          <w:color w:val="FF0000"/>
        </w:rPr>
      </w:pPr>
      <w:r>
        <w:rPr>
          <w:color w:val="FF0000"/>
        </w:rPr>
        <w:t xml:space="preserve">Integrating care: </w:t>
      </w:r>
      <w:r w:rsidR="0049164A">
        <w:rPr>
          <w:color w:val="FF0000"/>
        </w:rPr>
        <w:t>Transition of Care from Paediatric to Adult Services</w:t>
      </w:r>
    </w:p>
    <w:p w14:paraId="759C4358" w14:textId="48336AED" w:rsidR="0034654C" w:rsidRDefault="0034654C" w:rsidP="005060EA">
      <w:pPr>
        <w:jc w:val="both"/>
      </w:pPr>
      <w:r w:rsidRPr="0034654C">
        <w:t xml:space="preserve">Adolescence is the stage of life between </w:t>
      </w:r>
      <w:r w:rsidR="00D8737A">
        <w:t>eleven</w:t>
      </w:r>
      <w:r w:rsidRPr="0034654C">
        <w:t xml:space="preserve"> and 19 years of age. It is a unique stage of human development and an important time for laying the foundations of good health (WHO, 2024). </w:t>
      </w:r>
    </w:p>
    <w:p w14:paraId="2AF5AC1F" w14:textId="01A267A3" w:rsidR="0034654C" w:rsidRDefault="00A82ADD" w:rsidP="005060EA">
      <w:pPr>
        <w:jc w:val="both"/>
      </w:pPr>
      <w:r>
        <w:t>Adolescence</w:t>
      </w:r>
      <w:r w:rsidR="00753AF8">
        <w:t xml:space="preserve"> and young adulthood</w:t>
      </w:r>
      <w:r w:rsidR="0034654C" w:rsidRPr="0034654C">
        <w:t xml:space="preserve"> can be a time of great opportunity but also a vulnerable time, made even more challenging if a </w:t>
      </w:r>
      <w:r w:rsidR="000741D6">
        <w:t>y</w:t>
      </w:r>
      <w:r w:rsidR="0034654C" w:rsidRPr="0034654C">
        <w:t xml:space="preserve">oung </w:t>
      </w:r>
      <w:r w:rsidR="000741D6">
        <w:t>p</w:t>
      </w:r>
      <w:r w:rsidR="0034654C" w:rsidRPr="0034654C">
        <w:t xml:space="preserve">erson is living with a chronic health/ mental health condition or disability. </w:t>
      </w:r>
      <w:r w:rsidR="00567B5E">
        <w:t>It is essential to support the</w:t>
      </w:r>
      <w:r w:rsidR="0034654C" w:rsidRPr="0034654C">
        <w:t xml:space="preserve"> </w:t>
      </w:r>
      <w:r w:rsidR="0034654C">
        <w:t>transition</w:t>
      </w:r>
      <w:r w:rsidR="0034654C" w:rsidRPr="0034654C">
        <w:t xml:space="preserve"> of care </w:t>
      </w:r>
      <w:r w:rsidR="00567B5E">
        <w:t xml:space="preserve">link </w:t>
      </w:r>
      <w:r w:rsidR="0034654C" w:rsidRPr="0034654C">
        <w:t>between child and adult services and across primary, community and hospital settings</w:t>
      </w:r>
      <w:r w:rsidR="0034654C">
        <w:t>.</w:t>
      </w:r>
    </w:p>
    <w:p w14:paraId="6A8F039C" w14:textId="6482B793" w:rsidR="0034654C" w:rsidRPr="005060EA" w:rsidRDefault="0034654C" w:rsidP="005060EA">
      <w:pPr>
        <w:jc w:val="both"/>
        <w:rPr>
          <w:b/>
          <w:bCs/>
        </w:rPr>
      </w:pPr>
      <w:r w:rsidRPr="005060EA">
        <w:rPr>
          <w:b/>
          <w:bCs/>
        </w:rPr>
        <w:t>Transition of care is an on-going gradual process where the focus is on preparing, educating and supporting young people and their families</w:t>
      </w:r>
      <w:r w:rsidR="004A3EB4">
        <w:rPr>
          <w:b/>
          <w:bCs/>
        </w:rPr>
        <w:t xml:space="preserve"> or caregivers</w:t>
      </w:r>
      <w:r w:rsidRPr="005060EA">
        <w:rPr>
          <w:b/>
          <w:bCs/>
        </w:rPr>
        <w:t xml:space="preserve"> for adulthood and lifelong health as they move to adult health services. </w:t>
      </w:r>
    </w:p>
    <w:p w14:paraId="28E7BC69" w14:textId="1E3289D4" w:rsidR="0034654C" w:rsidRPr="004A3EB4" w:rsidRDefault="004A3EB4" w:rsidP="005060EA">
      <w:pPr>
        <w:jc w:val="both"/>
        <w:rPr>
          <w:color w:val="FF0000"/>
        </w:rPr>
      </w:pPr>
      <w:r>
        <w:t>T</w:t>
      </w:r>
      <w:r w:rsidR="0034654C">
        <w:t>his webpage provide</w:t>
      </w:r>
      <w:r>
        <w:t>s</w:t>
      </w:r>
      <w:r w:rsidR="0034654C">
        <w:t xml:space="preserve"> resources to support health professionals</w:t>
      </w:r>
      <w:r w:rsidR="005060EA">
        <w:t xml:space="preserve"> and healthcare teams</w:t>
      </w:r>
      <w:r w:rsidR="0034654C">
        <w:t xml:space="preserve"> to </w:t>
      </w:r>
      <w:r w:rsidR="00D16506">
        <w:t xml:space="preserve">deliver </w:t>
      </w:r>
      <w:r w:rsidR="0034654C">
        <w:t xml:space="preserve">transition of care pathways for </w:t>
      </w:r>
      <w:r w:rsidR="000741D6">
        <w:t>y</w:t>
      </w:r>
      <w:r w:rsidR="000C574E">
        <w:t xml:space="preserve">oung </w:t>
      </w:r>
      <w:r w:rsidR="000741D6">
        <w:t>p</w:t>
      </w:r>
      <w:r w:rsidR="000C574E">
        <w:t xml:space="preserve">eople </w:t>
      </w:r>
      <w:r w:rsidR="0034654C">
        <w:t>attending their services</w:t>
      </w:r>
      <w:r w:rsidR="00DD5431">
        <w:t xml:space="preserve"> as they prepare and move to adult services</w:t>
      </w:r>
      <w:r w:rsidR="0034654C">
        <w:t>.</w:t>
      </w:r>
      <w:r w:rsidR="005060EA">
        <w:t xml:space="preserve"> </w:t>
      </w:r>
      <w:r>
        <w:t xml:space="preserve">It has been informed by the voices of </w:t>
      </w:r>
      <w:r w:rsidR="007E15DA">
        <w:t>young people</w:t>
      </w:r>
      <w:r>
        <w:t xml:space="preserve"> and their parents/caregivers.</w:t>
      </w:r>
      <w:r w:rsidRPr="004A3EB4">
        <w:rPr>
          <w:color w:val="FF0000"/>
          <w:highlight w:val="yellow"/>
        </w:rPr>
        <w:t xml:space="preserve"> Insert survey infographic here</w:t>
      </w:r>
    </w:p>
    <w:p w14:paraId="23D77DE6" w14:textId="580BA971" w:rsidR="0023301B" w:rsidRPr="001339F6" w:rsidRDefault="00143C28" w:rsidP="0023301B">
      <w:pPr>
        <w:jc w:val="both"/>
      </w:pPr>
      <w:r w:rsidRPr="00420101">
        <w:t xml:space="preserve">The respect of </w:t>
      </w:r>
      <w:r w:rsidR="009135B0" w:rsidRPr="00420101">
        <w:t xml:space="preserve">and their right to </w:t>
      </w:r>
      <w:r w:rsidRPr="00420101">
        <w:t>c</w:t>
      </w:r>
      <w:r w:rsidR="0023301B" w:rsidRPr="00420101">
        <w:t xml:space="preserve">onfidentiality </w:t>
      </w:r>
      <w:r w:rsidRPr="00420101">
        <w:t xml:space="preserve">is important to young people. </w:t>
      </w:r>
      <w:r w:rsidR="00D148FA" w:rsidRPr="00D148FA">
        <w:rPr>
          <w:noProof/>
        </w:rPr>
        <w:drawing>
          <wp:inline distT="0" distB="0" distL="0" distR="0" wp14:anchorId="1F5BC913" wp14:editId="3DD58842">
            <wp:extent cx="5731510" cy="285750"/>
            <wp:effectExtent l="0" t="0" r="0" b="0"/>
            <wp:docPr id="1711894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6F" w:rsidRPr="00AF55BF">
        <w:t xml:space="preserve">A young person aged 16 or 17 can consent to their own treatment. </w:t>
      </w:r>
      <w:r w:rsidR="004232D8">
        <w:t>Further information on the HSE National Consent Policy</w:t>
      </w:r>
      <w:r w:rsidR="000D62A6">
        <w:t xml:space="preserve"> including information on confidentiality</w:t>
      </w:r>
      <w:r w:rsidR="004232D8">
        <w:t xml:space="preserve"> is available here: </w:t>
      </w:r>
      <w:hyperlink r:id="rId5" w:history="1">
        <w:r w:rsidR="004232D8" w:rsidRPr="005A2F32">
          <w:rPr>
            <w:rStyle w:val="Hyperlink"/>
            <w:b/>
            <w:bCs/>
          </w:rPr>
          <w:t>National Consent Policy</w:t>
        </w:r>
      </w:hyperlink>
      <w:r w:rsidR="004232D8" w:rsidRPr="005A2F32">
        <w:rPr>
          <w:b/>
          <w:bCs/>
        </w:rPr>
        <w:t>.</w:t>
      </w:r>
    </w:p>
    <w:p w14:paraId="1A2CDE74" w14:textId="5A5F7DBF" w:rsidR="005060EA" w:rsidRDefault="007E15DA" w:rsidP="005060EA">
      <w:pPr>
        <w:jc w:val="both"/>
        <w:rPr>
          <w:color w:val="FF0000"/>
        </w:rPr>
      </w:pPr>
      <w:r>
        <w:t>Young people</w:t>
      </w:r>
      <w:r w:rsidR="0034654C">
        <w:t xml:space="preserve"> and their parents /caregivers </w:t>
      </w:r>
      <w:r w:rsidR="005060EA">
        <w:t xml:space="preserve">can access information on transition of care </w:t>
      </w:r>
      <w:r w:rsidR="00D32049">
        <w:t xml:space="preserve">to adult health services </w:t>
      </w:r>
      <w:r w:rsidR="005060EA">
        <w:t xml:space="preserve">here: </w:t>
      </w:r>
      <w:r w:rsidR="005060EA" w:rsidRPr="004A3EB4">
        <w:rPr>
          <w:color w:val="FF0000"/>
          <w:highlight w:val="yellow"/>
        </w:rPr>
        <w:t>insert link</w:t>
      </w:r>
      <w:r w:rsidR="005060EA" w:rsidRPr="004A3EB4">
        <w:rPr>
          <w:color w:val="FF0000"/>
        </w:rPr>
        <w:t>.</w:t>
      </w:r>
    </w:p>
    <w:p w14:paraId="7BA00D45" w14:textId="718C50C8" w:rsidR="005060EA" w:rsidRPr="00880219" w:rsidRDefault="005060EA">
      <w:pPr>
        <w:rPr>
          <w:color w:val="C00000"/>
        </w:rPr>
      </w:pPr>
      <w:r w:rsidRPr="004A3EB4">
        <w:t>Document</w:t>
      </w:r>
      <w:r w:rsidR="00CD43DD">
        <w:t>s</w:t>
      </w:r>
      <w:r w:rsidR="00880219" w:rsidRPr="00880219">
        <w:rPr>
          <w:color w:val="C00000"/>
        </w:rPr>
        <w:t xml:space="preserve"> </w:t>
      </w:r>
      <w:r w:rsidR="00880219" w:rsidRPr="00F95AAF">
        <w:rPr>
          <w:color w:val="C00000"/>
        </w:rPr>
        <w:t>insert the following</w:t>
      </w:r>
      <w:r w:rsidR="00880219">
        <w:rPr>
          <w:color w:val="C00000"/>
        </w:rPr>
        <w:t xml:space="preserve"> documents within this section</w:t>
      </w:r>
      <w:r w:rsidR="00880219" w:rsidRPr="00F95AAF">
        <w:rPr>
          <w:color w:val="C00000"/>
        </w:rPr>
        <w:t>:</w:t>
      </w:r>
    </w:p>
    <w:p w14:paraId="370E9673" w14:textId="577ED09E" w:rsidR="0034654C" w:rsidRDefault="005060EA">
      <w:pPr>
        <w:rPr>
          <w:b/>
          <w:bCs/>
        </w:rPr>
      </w:pPr>
      <w:r w:rsidRPr="005060EA">
        <w:rPr>
          <w:b/>
          <w:bCs/>
        </w:rPr>
        <w:t>Transition of Care from Paediatric to Adult Services: A National Framework</w:t>
      </w:r>
    </w:p>
    <w:p w14:paraId="7C0466E3" w14:textId="56FBB324" w:rsidR="005060EA" w:rsidRDefault="005060EA">
      <w:pPr>
        <w:rPr>
          <w:b/>
          <w:bCs/>
        </w:rPr>
      </w:pPr>
      <w:r>
        <w:rPr>
          <w:b/>
          <w:bCs/>
        </w:rPr>
        <w:t>National Transition of Care Your Voice Matters Survey Report</w:t>
      </w:r>
    </w:p>
    <w:p w14:paraId="2D1BD6B2" w14:textId="48A3D485" w:rsidR="004A3EB4" w:rsidRPr="00F95AAF" w:rsidRDefault="00D148FA">
      <w:pPr>
        <w:rPr>
          <w:color w:val="C00000"/>
        </w:rPr>
      </w:pPr>
      <w:r>
        <w:t xml:space="preserve">TOC Pathway </w:t>
      </w:r>
      <w:r w:rsidR="004A3EB4" w:rsidRPr="00F95AAF">
        <w:t>Templates</w:t>
      </w:r>
      <w:r w:rsidR="00F95AAF" w:rsidRPr="00F95AAF">
        <w:t xml:space="preserve"> </w:t>
      </w:r>
      <w:r w:rsidR="00F95AAF" w:rsidRPr="00F95AAF">
        <w:rPr>
          <w:color w:val="C00000"/>
        </w:rPr>
        <w:t>insert the following</w:t>
      </w:r>
      <w:r w:rsidR="00F95AAF">
        <w:rPr>
          <w:color w:val="C00000"/>
        </w:rPr>
        <w:t xml:space="preserve"> </w:t>
      </w:r>
      <w:r w:rsidR="002E1EA3">
        <w:rPr>
          <w:color w:val="C00000"/>
        </w:rPr>
        <w:t xml:space="preserve">documents </w:t>
      </w:r>
      <w:r w:rsidR="00F95AAF">
        <w:rPr>
          <w:color w:val="C00000"/>
        </w:rPr>
        <w:t>within this section</w:t>
      </w:r>
      <w:r w:rsidR="00F95AAF" w:rsidRPr="00F95AAF">
        <w:rPr>
          <w:color w:val="C00000"/>
        </w:rPr>
        <w:t>:</w:t>
      </w:r>
    </w:p>
    <w:p w14:paraId="76DEC3F9" w14:textId="1040007A" w:rsidR="00F95AAF" w:rsidRDefault="00F95AAF">
      <w:pPr>
        <w:rPr>
          <w:b/>
          <w:bCs/>
        </w:rPr>
      </w:pPr>
      <w:r w:rsidRPr="00F95AAF">
        <w:rPr>
          <w:b/>
          <w:bCs/>
        </w:rPr>
        <w:t>Transition Process Infographic (NICE)</w:t>
      </w:r>
    </w:p>
    <w:p w14:paraId="2A8D6CCB" w14:textId="377F9CC7" w:rsidR="00F95AAF" w:rsidRDefault="00F95AAF">
      <w:pPr>
        <w:rPr>
          <w:b/>
          <w:bCs/>
        </w:rPr>
      </w:pPr>
      <w:r>
        <w:rPr>
          <w:b/>
          <w:bCs/>
        </w:rPr>
        <w:t>How Ready Am I for Transition Checklist</w:t>
      </w:r>
    </w:p>
    <w:p w14:paraId="750D5522" w14:textId="76DF597C" w:rsidR="006D0CAC" w:rsidRPr="006D0CAC" w:rsidRDefault="006D0CA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Microsoft JhengHei Light" w:hAnsi="Calibri" w:cs="Calibri"/>
          <w:b/>
          <w:bCs/>
          <w:sz w:val="24"/>
          <w:szCs w:val="24"/>
        </w:rPr>
        <w:t xml:space="preserve">Sample </w:t>
      </w:r>
      <w:r w:rsidRPr="006D0CAC">
        <w:rPr>
          <w:rFonts w:ascii="Calibri" w:eastAsia="Microsoft JhengHei Light" w:hAnsi="Calibri" w:cs="Calibri"/>
          <w:b/>
          <w:bCs/>
          <w:sz w:val="24"/>
          <w:szCs w:val="24"/>
        </w:rPr>
        <w:t>Individual Health Record of Transition Process</w:t>
      </w:r>
    </w:p>
    <w:p w14:paraId="79CEA0AC" w14:textId="0313E7A2" w:rsidR="00F95AAF" w:rsidRDefault="00F95AAF">
      <w:pPr>
        <w:rPr>
          <w:b/>
          <w:bCs/>
        </w:rPr>
      </w:pPr>
      <w:r>
        <w:rPr>
          <w:b/>
          <w:bCs/>
        </w:rPr>
        <w:t xml:space="preserve">Transition of Care to Adult Services </w:t>
      </w:r>
      <w:r w:rsidR="003E0CB9">
        <w:rPr>
          <w:b/>
          <w:bCs/>
        </w:rPr>
        <w:t>Pathway</w:t>
      </w:r>
    </w:p>
    <w:p w14:paraId="4A4DA805" w14:textId="115198CB" w:rsidR="00C74CDB" w:rsidRDefault="00C74CDB">
      <w:pPr>
        <w:rPr>
          <w:b/>
          <w:bCs/>
        </w:rPr>
      </w:pPr>
      <w:r>
        <w:rPr>
          <w:b/>
          <w:bCs/>
        </w:rPr>
        <w:t>Ready Steady Go Transition Checklist</w:t>
      </w:r>
    </w:p>
    <w:p w14:paraId="57983A97" w14:textId="56BDCC26" w:rsidR="009052AD" w:rsidRDefault="009052AD">
      <w:pPr>
        <w:rPr>
          <w:b/>
          <w:bCs/>
        </w:rPr>
      </w:pPr>
      <w:r>
        <w:rPr>
          <w:b/>
          <w:bCs/>
        </w:rPr>
        <w:t>TRAQ Transition Readiness Assessment Checklist</w:t>
      </w:r>
    </w:p>
    <w:p w14:paraId="5E8A406E" w14:textId="77777777" w:rsidR="008970A3" w:rsidRDefault="008970A3">
      <w:pPr>
        <w:rPr>
          <w:b/>
          <w:bCs/>
        </w:rPr>
      </w:pPr>
      <w:r>
        <w:rPr>
          <w:b/>
          <w:bCs/>
        </w:rPr>
        <w:t xml:space="preserve">Short </w:t>
      </w:r>
      <w:proofErr w:type="spellStart"/>
      <w:r>
        <w:rPr>
          <w:b/>
          <w:bCs/>
        </w:rPr>
        <w:t>Healthscale</w:t>
      </w:r>
      <w:proofErr w:type="spellEnd"/>
      <w:r>
        <w:rPr>
          <w:b/>
          <w:bCs/>
        </w:rPr>
        <w:t xml:space="preserve"> Questionnaire adapted</w:t>
      </w:r>
    </w:p>
    <w:p w14:paraId="0662DFA6" w14:textId="2E9D2B13" w:rsidR="00F95AAF" w:rsidRDefault="00F95AAF">
      <w:pPr>
        <w:rPr>
          <w:b/>
          <w:bCs/>
        </w:rPr>
      </w:pPr>
      <w:r>
        <w:rPr>
          <w:b/>
          <w:bCs/>
        </w:rPr>
        <w:t>Adolescent Health Topics</w:t>
      </w:r>
    </w:p>
    <w:p w14:paraId="51BA7E6D" w14:textId="34211361" w:rsidR="008102CB" w:rsidRPr="00F95AAF" w:rsidRDefault="00265527">
      <w:pPr>
        <w:rPr>
          <w:b/>
          <w:bCs/>
        </w:rPr>
      </w:pPr>
      <w:r>
        <w:rPr>
          <w:b/>
          <w:bCs/>
        </w:rPr>
        <w:t>My Medicines List</w:t>
      </w:r>
    </w:p>
    <w:p w14:paraId="7AB02249" w14:textId="467A8D58" w:rsidR="004A3EB4" w:rsidRPr="00A82BAE" w:rsidRDefault="004A3EB4">
      <w:r w:rsidRPr="00A82BAE">
        <w:t>Useful links</w:t>
      </w:r>
    </w:p>
    <w:p w14:paraId="55B30093" w14:textId="7D39D41D" w:rsidR="004A3EB4" w:rsidRDefault="003B3B06">
      <w:pPr>
        <w:rPr>
          <w:b/>
          <w:bCs/>
        </w:rPr>
      </w:pPr>
      <w:r w:rsidRPr="003B3B06">
        <w:rPr>
          <w:b/>
          <w:bCs/>
        </w:rPr>
        <w:lastRenderedPageBreak/>
        <w:t>chrome-extension://efaidnbmnnnibpcajpcglclefindmkaj/https://www.togetherforshortlives.org.uk/app/uploads/2023/02/Stepping-Up-Transition-Care-Pathway.pdf</w:t>
      </w:r>
    </w:p>
    <w:p w14:paraId="52243608" w14:textId="77777777" w:rsidR="005060EA" w:rsidRDefault="005060EA">
      <w:pPr>
        <w:rPr>
          <w:b/>
          <w:bCs/>
        </w:rPr>
      </w:pPr>
    </w:p>
    <w:p w14:paraId="0B7BF265" w14:textId="651FFAE3" w:rsidR="005060EA" w:rsidRPr="005060EA" w:rsidRDefault="005060EA">
      <w:pPr>
        <w:rPr>
          <w:b/>
          <w:bCs/>
        </w:rPr>
      </w:pPr>
    </w:p>
    <w:sectPr w:rsidR="005060EA" w:rsidRPr="00506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4C"/>
    <w:rsid w:val="00020D1E"/>
    <w:rsid w:val="000741D6"/>
    <w:rsid w:val="000C574E"/>
    <w:rsid w:val="000D62A6"/>
    <w:rsid w:val="000E2956"/>
    <w:rsid w:val="000F4B45"/>
    <w:rsid w:val="001339F6"/>
    <w:rsid w:val="00143C28"/>
    <w:rsid w:val="00183717"/>
    <w:rsid w:val="0023301B"/>
    <w:rsid w:val="002547E1"/>
    <w:rsid w:val="00265527"/>
    <w:rsid w:val="002E1EA3"/>
    <w:rsid w:val="0034654C"/>
    <w:rsid w:val="003B3B06"/>
    <w:rsid w:val="003E0CB9"/>
    <w:rsid w:val="004008CE"/>
    <w:rsid w:val="00420101"/>
    <w:rsid w:val="004232D8"/>
    <w:rsid w:val="0049164A"/>
    <w:rsid w:val="004A3EB4"/>
    <w:rsid w:val="004F6D8C"/>
    <w:rsid w:val="005060EA"/>
    <w:rsid w:val="00567B5E"/>
    <w:rsid w:val="00577A4D"/>
    <w:rsid w:val="005A2F32"/>
    <w:rsid w:val="005C284E"/>
    <w:rsid w:val="00631D06"/>
    <w:rsid w:val="00657336"/>
    <w:rsid w:val="00663C1F"/>
    <w:rsid w:val="006D0CAC"/>
    <w:rsid w:val="006E4D85"/>
    <w:rsid w:val="0070414D"/>
    <w:rsid w:val="00714EA0"/>
    <w:rsid w:val="00753AF8"/>
    <w:rsid w:val="007E15DA"/>
    <w:rsid w:val="008102CB"/>
    <w:rsid w:val="00880219"/>
    <w:rsid w:val="00884418"/>
    <w:rsid w:val="008965BF"/>
    <w:rsid w:val="008970A3"/>
    <w:rsid w:val="008F1C93"/>
    <w:rsid w:val="009052AD"/>
    <w:rsid w:val="009135B0"/>
    <w:rsid w:val="00985EA2"/>
    <w:rsid w:val="009D6A6F"/>
    <w:rsid w:val="00A82ADD"/>
    <w:rsid w:val="00A82BAE"/>
    <w:rsid w:val="00A863E6"/>
    <w:rsid w:val="00AA344C"/>
    <w:rsid w:val="00AF55BF"/>
    <w:rsid w:val="00B86727"/>
    <w:rsid w:val="00B978C4"/>
    <w:rsid w:val="00C34FDF"/>
    <w:rsid w:val="00C56498"/>
    <w:rsid w:val="00C74CDB"/>
    <w:rsid w:val="00CD43DD"/>
    <w:rsid w:val="00CD69CE"/>
    <w:rsid w:val="00D148FA"/>
    <w:rsid w:val="00D16506"/>
    <w:rsid w:val="00D32049"/>
    <w:rsid w:val="00D365A4"/>
    <w:rsid w:val="00D81C8F"/>
    <w:rsid w:val="00D85FB2"/>
    <w:rsid w:val="00D8737A"/>
    <w:rsid w:val="00DD5431"/>
    <w:rsid w:val="00DE1FBD"/>
    <w:rsid w:val="00DF0A05"/>
    <w:rsid w:val="00EB4AA5"/>
    <w:rsid w:val="00F2534D"/>
    <w:rsid w:val="00F95AAF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208D"/>
  <w15:chartTrackingRefBased/>
  <w15:docId w15:val="{E23739F4-A4AB-4786-8419-51E6B545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5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6A6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32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2.healthservice.hse.ie/organisation/national-pppgs/hse-national-consent-policy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Dervela Gray</dc:creator>
  <cp:keywords/>
  <dc:description/>
  <cp:lastModifiedBy>Dervela Gray</cp:lastModifiedBy>
  <cp:revision>63</cp:revision>
  <dcterms:created xsi:type="dcterms:W3CDTF">2025-02-18T09:21:00Z</dcterms:created>
  <dcterms:modified xsi:type="dcterms:W3CDTF">2025-03-06T11:53:00Z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bdc5c2-1ff9-4d01-9834-f86cda611682_Enabled">
    <vt:lpwstr>true</vt:lpwstr>
  </property>
  <property fmtid="{D5CDD505-2E9C-101B-9397-08002B2CF9AE}" pid="3" name="MSIP_Label_2ebdc5c2-1ff9-4d01-9834-f86cda611682_SetDate">
    <vt:lpwstr>2025-02-18T11:57:54Z</vt:lpwstr>
  </property>
  <property fmtid="{D5CDD505-2E9C-101B-9397-08002B2CF9AE}" pid="4" name="MSIP_Label_2ebdc5c2-1ff9-4d01-9834-f86cda611682_Method">
    <vt:lpwstr>Standard</vt:lpwstr>
  </property>
  <property fmtid="{D5CDD505-2E9C-101B-9397-08002B2CF9AE}" pid="5" name="MSIP_Label_2ebdc5c2-1ff9-4d01-9834-f86cda611682_Name">
    <vt:lpwstr>defa4170-0d19-0005-0004-bc88714345d2</vt:lpwstr>
  </property>
  <property fmtid="{D5CDD505-2E9C-101B-9397-08002B2CF9AE}" pid="6" name="MSIP_Label_2ebdc5c2-1ff9-4d01-9834-f86cda611682_SiteId">
    <vt:lpwstr>4bdbc99f-14d5-40ac-8220-5a85d6b6fe7d</vt:lpwstr>
  </property>
  <property fmtid="{D5CDD505-2E9C-101B-9397-08002B2CF9AE}" pid="7" name="MSIP_Label_2ebdc5c2-1ff9-4d01-9834-f86cda611682_ActionId">
    <vt:lpwstr>a21f2bf3-c317-478e-b6b7-cee4a26356af</vt:lpwstr>
  </property>
  <property fmtid="{D5CDD505-2E9C-101B-9397-08002B2CF9AE}" pid="8" name="MSIP_Label_2ebdc5c2-1ff9-4d01-9834-f86cda611682_ContentBits">
    <vt:lpwstr>0</vt:lpwstr>
  </property>
</Properties>
</file>