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9066" w14:textId="282791A0" w:rsidR="002E240F" w:rsidRPr="00755078" w:rsidRDefault="00997BE3" w:rsidP="00755078">
      <w:pPr>
        <w:pStyle w:val="Style1"/>
        <w:rPr>
          <w:rStyle w:val="IntenseReference"/>
          <w:b w:val="0"/>
          <w:bCs w:val="0"/>
          <w:smallCaps w:val="0"/>
          <w:color w:val="auto"/>
          <w:spacing w:val="-10"/>
        </w:rPr>
      </w:pPr>
      <w:r w:rsidRPr="00DA4F5E">
        <w:rPr>
          <w:rStyle w:val="IntenseReference"/>
          <w:color w:val="auto"/>
        </w:rPr>
        <w:t>Contact precautions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7B6AC0" w:rsidRPr="00E66286" w14:paraId="41320AA2" w14:textId="77777777" w:rsidTr="00F804D5">
        <w:trPr>
          <w:jc w:val="center"/>
        </w:trPr>
        <w:tc>
          <w:tcPr>
            <w:tcW w:w="9209" w:type="dxa"/>
          </w:tcPr>
          <w:p w14:paraId="221E366B" w14:textId="693E315B" w:rsidR="007B6AC0" w:rsidRPr="00E66286" w:rsidRDefault="007B6AC0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66286">
              <w:rPr>
                <w:rFonts w:ascii="Arial" w:hAnsi="Arial" w:cs="Arial"/>
                <w:b/>
                <w:bCs/>
              </w:rPr>
              <w:t xml:space="preserve">Prompt: Poster colour is yellow: </w:t>
            </w:r>
            <w:r w:rsidR="007551D9" w:rsidRPr="00E66286">
              <w:rPr>
                <w:rFonts w:ascii="Arial" w:hAnsi="Arial" w:cs="Arial"/>
                <w:b/>
                <w:bCs/>
              </w:rPr>
              <w:t xml:space="preserve">use this explainer with </w:t>
            </w:r>
            <w:r w:rsidR="005918A2" w:rsidRPr="00E66286">
              <w:rPr>
                <w:rFonts w:ascii="Arial" w:hAnsi="Arial" w:cs="Arial"/>
                <w:b/>
                <w:bCs/>
              </w:rPr>
              <w:t xml:space="preserve">the </w:t>
            </w:r>
            <w:r w:rsidR="007551D9" w:rsidRPr="00E66286">
              <w:rPr>
                <w:rFonts w:ascii="Arial" w:hAnsi="Arial" w:cs="Arial"/>
                <w:b/>
                <w:bCs/>
              </w:rPr>
              <w:t xml:space="preserve">yellow </w:t>
            </w:r>
            <w:r w:rsidRPr="00E66286">
              <w:rPr>
                <w:rFonts w:ascii="Arial" w:hAnsi="Arial" w:cs="Arial"/>
                <w:b/>
                <w:bCs/>
              </w:rPr>
              <w:t>contact precautions</w:t>
            </w:r>
            <w:r w:rsidR="007551D9" w:rsidRPr="00E66286">
              <w:rPr>
                <w:rFonts w:ascii="Arial" w:hAnsi="Arial" w:cs="Arial"/>
                <w:b/>
                <w:bCs/>
              </w:rPr>
              <w:t xml:space="preserve"> poster</w:t>
            </w:r>
          </w:p>
          <w:p w14:paraId="1A9E5348" w14:textId="77777777" w:rsidR="007B6AC0" w:rsidRPr="00E66286" w:rsidRDefault="007B6AC0" w:rsidP="00954A01">
            <w:pPr>
              <w:pStyle w:val="Subtitle"/>
              <w:jc w:val="both"/>
              <w:rPr>
                <w:rStyle w:val="Emphasis"/>
                <w:rFonts w:ascii="Arial" w:hAnsi="Arial" w:cs="Arial"/>
              </w:rPr>
            </w:pPr>
          </w:p>
          <w:p w14:paraId="0B57C520" w14:textId="0ECF4931" w:rsidR="00254243" w:rsidRPr="00E66286" w:rsidRDefault="007B6AC0" w:rsidP="00755078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8"/>
                <w:szCs w:val="28"/>
                <w:u w:val="single"/>
                <w:lang w:val="en-US"/>
              </w:rPr>
            </w:pPr>
            <w:r w:rsidRPr="00E66286">
              <w:rPr>
                <w:rFonts w:ascii="Arial" w:hAnsi="Arial" w:cs="Arial"/>
                <w:b/>
                <w:bCs/>
              </w:rPr>
              <w:t>Patient placement</w:t>
            </w:r>
            <w:r w:rsidR="00B17FB0" w:rsidRPr="00E66286">
              <w:rPr>
                <w:rFonts w:ascii="Arial" w:hAnsi="Arial" w:cs="Arial"/>
                <w:b/>
                <w:bCs/>
              </w:rPr>
              <w:t xml:space="preserve">: </w:t>
            </w:r>
            <w:r w:rsidRPr="00E66286">
              <w:rPr>
                <w:rFonts w:ascii="Arial" w:hAnsi="Arial" w:cs="Arial"/>
              </w:rPr>
              <w:t>whenever possible prioritise patients with identified risks for infectious diseases/</w:t>
            </w:r>
            <w:r w:rsidR="00F32C7D">
              <w:rPr>
                <w:rFonts w:ascii="Arial" w:hAnsi="Arial" w:cs="Arial"/>
              </w:rPr>
              <w:t xml:space="preserve"> </w:t>
            </w:r>
            <w:r w:rsidRPr="00E66286">
              <w:rPr>
                <w:rFonts w:ascii="Arial" w:hAnsi="Arial" w:cs="Arial"/>
              </w:rPr>
              <w:t>agents</w:t>
            </w:r>
            <w:r w:rsidR="00837B20" w:rsidRPr="00E66286">
              <w:rPr>
                <w:rFonts w:ascii="Arial" w:hAnsi="Arial" w:cs="Arial"/>
              </w:rPr>
              <w:t>/</w:t>
            </w:r>
            <w:r w:rsidR="00F32C7D">
              <w:rPr>
                <w:rFonts w:ascii="Arial" w:hAnsi="Arial" w:cs="Arial"/>
              </w:rPr>
              <w:t xml:space="preserve"> </w:t>
            </w:r>
            <w:r w:rsidR="00837B20" w:rsidRPr="00E66286">
              <w:rPr>
                <w:rFonts w:ascii="Arial" w:hAnsi="Arial" w:cs="Arial"/>
              </w:rPr>
              <w:t>transmissible microorganisms</w:t>
            </w:r>
            <w:r w:rsidRPr="00E66286">
              <w:rPr>
                <w:rFonts w:ascii="Arial" w:hAnsi="Arial" w:cs="Arial"/>
              </w:rPr>
              <w:t xml:space="preserve"> to single rooms</w:t>
            </w:r>
            <w:r w:rsidR="00B7789D" w:rsidRPr="00E66286">
              <w:rPr>
                <w:rFonts w:ascii="Arial" w:hAnsi="Arial" w:cs="Arial"/>
              </w:rPr>
              <w:t xml:space="preserve"> with dedicated toilet</w:t>
            </w:r>
            <w:r w:rsidR="00837B20" w:rsidRPr="00E66286">
              <w:rPr>
                <w:rFonts w:ascii="Arial" w:hAnsi="Arial" w:cs="Arial"/>
              </w:rPr>
              <w:t>/</w:t>
            </w:r>
            <w:r w:rsidR="00F32C7D">
              <w:rPr>
                <w:rFonts w:ascii="Arial" w:hAnsi="Arial" w:cs="Arial"/>
              </w:rPr>
              <w:t xml:space="preserve"> </w:t>
            </w:r>
            <w:r w:rsidR="00837B20" w:rsidRPr="00E66286">
              <w:rPr>
                <w:rFonts w:ascii="Arial" w:hAnsi="Arial" w:cs="Arial"/>
              </w:rPr>
              <w:t xml:space="preserve">ensuite </w:t>
            </w:r>
            <w:r w:rsidR="00B7789D" w:rsidRPr="00E66286">
              <w:rPr>
                <w:rFonts w:ascii="Arial" w:hAnsi="Arial" w:cs="Arial"/>
              </w:rPr>
              <w:t>facilities</w:t>
            </w:r>
            <w:r w:rsidR="008A4AA0" w:rsidRPr="00E66286">
              <w:rPr>
                <w:rFonts w:ascii="Arial" w:hAnsi="Arial" w:cs="Arial"/>
              </w:rPr>
              <w:t>.  Consider safety risks</w:t>
            </w:r>
            <w:r w:rsidR="00AA39A7">
              <w:rPr>
                <w:rFonts w:ascii="Arial" w:hAnsi="Arial" w:cs="Arial"/>
              </w:rPr>
              <w:t xml:space="preserve">: </w:t>
            </w:r>
            <w:r w:rsidR="008A4AA0" w:rsidRPr="00E66286">
              <w:rPr>
                <w:rFonts w:ascii="Arial" w:hAnsi="Arial" w:cs="Arial"/>
              </w:rPr>
              <w:t>risk assess patient placement in a single room</w:t>
            </w:r>
            <w:r w:rsidR="00755078">
              <w:rPr>
                <w:rFonts w:ascii="Arial" w:hAnsi="Arial" w:cs="Arial"/>
              </w:rPr>
              <w:t xml:space="preserve">, </w:t>
            </w:r>
            <w:r w:rsidR="002F41BF">
              <w:rPr>
                <w:rFonts w:ascii="Arial" w:hAnsi="Arial" w:cs="Arial"/>
              </w:rPr>
              <w:t>for example by the p</w:t>
            </w:r>
            <w:r w:rsidR="00755078" w:rsidRPr="00755078">
              <w:rPr>
                <w:rFonts w:ascii="Arial" w:hAnsi="Arial" w:cs="Arial"/>
              </w:rPr>
              <w:t>erson in charge</w:t>
            </w:r>
            <w:r w:rsidR="002F41BF">
              <w:rPr>
                <w:rFonts w:ascii="Arial" w:hAnsi="Arial" w:cs="Arial"/>
              </w:rPr>
              <w:t xml:space="preserve"> (</w:t>
            </w:r>
            <w:r w:rsidR="00755078" w:rsidRPr="00755078">
              <w:rPr>
                <w:rFonts w:ascii="Arial" w:hAnsi="Arial" w:cs="Arial"/>
              </w:rPr>
              <w:t>PIC)</w:t>
            </w:r>
            <w:r w:rsidR="004A041A">
              <w:rPr>
                <w:rFonts w:ascii="Arial" w:hAnsi="Arial" w:cs="Arial"/>
              </w:rPr>
              <w:t>.</w:t>
            </w:r>
          </w:p>
        </w:tc>
      </w:tr>
      <w:tr w:rsidR="006C32EF" w:rsidRPr="00E66286" w14:paraId="72959F2E" w14:textId="77777777" w:rsidTr="00F804D5">
        <w:trPr>
          <w:jc w:val="center"/>
        </w:trPr>
        <w:tc>
          <w:tcPr>
            <w:tcW w:w="9209" w:type="dxa"/>
            <w:shd w:val="clear" w:color="auto" w:fill="FFFFFF" w:themeFill="background1"/>
          </w:tcPr>
          <w:p w14:paraId="2CE89B2C" w14:textId="7BEA92D7" w:rsidR="00E66286" w:rsidRPr="00755078" w:rsidRDefault="006C32EF" w:rsidP="00755078">
            <w:pPr>
              <w:pStyle w:val="Style1"/>
            </w:pPr>
            <w:r w:rsidRPr="00E66286">
              <w:rPr>
                <w:rFonts w:eastAsiaTheme="minorEastAsia"/>
                <w:lang w:val="en-US"/>
              </w:rPr>
              <w:t xml:space="preserve">Step 1 </w:t>
            </w:r>
          </w:p>
        </w:tc>
      </w:tr>
      <w:tr w:rsidR="006C32EF" w:rsidRPr="00E66286" w14:paraId="19352802" w14:textId="77777777" w:rsidTr="00F804D5">
        <w:trPr>
          <w:jc w:val="center"/>
        </w:trPr>
        <w:tc>
          <w:tcPr>
            <w:tcW w:w="9209" w:type="dxa"/>
          </w:tcPr>
          <w:p w14:paraId="5474E87A" w14:textId="2B4E7460" w:rsidR="006C32EF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Before each patient interaction, a </w:t>
            </w:r>
            <w:r w:rsidRPr="00AA39A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health</w:t>
            </w:r>
            <w:r w:rsidR="00455ED9" w:rsidRPr="00AA39A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and </w:t>
            </w:r>
            <w:r w:rsidRPr="00AA39A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care worker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must assess</w:t>
            </w:r>
            <w:r w:rsidR="007A5ED3"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837B20"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the patient/</w:t>
            </w:r>
            <w:r w:rsidR="00F32C7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837B20"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situation </w:t>
            </w:r>
            <w:r w:rsidR="007A5ED3"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and complete a </w:t>
            </w:r>
            <w:r w:rsidRPr="00E66286">
              <w:rPr>
                <w:rFonts w:ascii="Arial" w:hAnsi="Arial" w:cs="Arial"/>
                <w:b/>
                <w:bCs/>
              </w:rPr>
              <w:t>point of care risk assessment (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PCRA)</w:t>
            </w:r>
            <w:r w:rsidR="001D38DB"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*</w:t>
            </w:r>
          </w:p>
          <w:p w14:paraId="4791E789" w14:textId="77777777" w:rsidR="00A31738" w:rsidRPr="00E66286" w:rsidRDefault="00A31738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24077E04" w14:textId="4A6177F8" w:rsidR="006C32EF" w:rsidRPr="00E66286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E66286">
              <w:rPr>
                <w:rFonts w:ascii="Arial" w:hAnsi="Arial" w:cs="Arial"/>
              </w:rPr>
              <w:t xml:space="preserve">A </w:t>
            </w:r>
            <w:r w:rsidR="00623D5F" w:rsidRPr="00E66286">
              <w:rPr>
                <w:rFonts w:ascii="Arial" w:hAnsi="Arial" w:cs="Arial"/>
              </w:rPr>
              <w:t>p</w:t>
            </w:r>
            <w:r w:rsidRPr="00E66286">
              <w:rPr>
                <w:rFonts w:ascii="Arial" w:hAnsi="Arial" w:cs="Arial"/>
              </w:rPr>
              <w:t>oint of care risk assessment (PCRA) is an integral part of standard practice</w:t>
            </w:r>
            <w:r w:rsidR="00837B20" w:rsidRPr="00E66286">
              <w:rPr>
                <w:rFonts w:ascii="Arial" w:hAnsi="Arial" w:cs="Arial"/>
              </w:rPr>
              <w:t xml:space="preserve">, </w:t>
            </w:r>
            <w:r w:rsidRPr="00E66286">
              <w:rPr>
                <w:rFonts w:ascii="Arial" w:hAnsi="Arial" w:cs="Arial"/>
              </w:rPr>
              <w:t xml:space="preserve">which should be performed by every </w:t>
            </w:r>
            <w:r w:rsidR="001B3CF8" w:rsidRPr="001B3CF8">
              <w:rPr>
                <w:rFonts w:ascii="Arial" w:hAnsi="Arial" w:cs="Arial"/>
              </w:rPr>
              <w:t xml:space="preserve">health and care worker </w:t>
            </w:r>
            <w:r w:rsidRPr="00E66286">
              <w:rPr>
                <w:rFonts w:ascii="Arial" w:hAnsi="Arial" w:cs="Arial"/>
                <w:b/>
              </w:rPr>
              <w:t>BEFORE</w:t>
            </w:r>
            <w:r w:rsidRPr="00E66286">
              <w:rPr>
                <w:rFonts w:ascii="Arial" w:hAnsi="Arial" w:cs="Arial"/>
              </w:rPr>
              <w:t xml:space="preserve"> every patient interaction to allow them to accurately assess the risk 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of exposing themselves and/</w:t>
            </w:r>
            <w:r w:rsidR="00F32C7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or others to </w:t>
            </w:r>
            <w:r w:rsidR="00837B20" w:rsidRPr="00E66286">
              <w:rPr>
                <w:rFonts w:ascii="Arial" w:hAnsi="Arial" w:cs="Arial"/>
                <w:b/>
                <w:bCs/>
              </w:rPr>
              <w:t>infectious diseases/</w:t>
            </w:r>
            <w:r w:rsidR="00551D9E" w:rsidRPr="00E66286">
              <w:rPr>
                <w:rFonts w:ascii="Arial" w:hAnsi="Arial" w:cs="Arial"/>
                <w:b/>
                <w:bCs/>
              </w:rPr>
              <w:t xml:space="preserve"> </w:t>
            </w:r>
            <w:r w:rsidR="00837B20" w:rsidRPr="00E66286">
              <w:rPr>
                <w:rFonts w:ascii="Arial" w:hAnsi="Arial" w:cs="Arial"/>
                <w:b/>
                <w:bCs/>
              </w:rPr>
              <w:t>agents/</w:t>
            </w:r>
            <w:r w:rsidR="00551D9E" w:rsidRPr="00E66286">
              <w:rPr>
                <w:rFonts w:ascii="Arial" w:hAnsi="Arial" w:cs="Arial"/>
                <w:b/>
                <w:bCs/>
              </w:rPr>
              <w:t xml:space="preserve"> </w:t>
            </w:r>
            <w:r w:rsidR="00837B20" w:rsidRPr="00E66286">
              <w:rPr>
                <w:rFonts w:ascii="Arial" w:hAnsi="Arial" w:cs="Arial"/>
                <w:b/>
                <w:bCs/>
              </w:rPr>
              <w:t>transmissible microorganisms.</w:t>
            </w:r>
          </w:p>
          <w:p w14:paraId="4E7A364B" w14:textId="77777777" w:rsidR="006C32EF" w:rsidRPr="00E66286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181C917" w14:textId="6B9CEFA5" w:rsidR="006C32EF" w:rsidRPr="00E66286" w:rsidRDefault="006C32EF" w:rsidP="00954A01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This PCRA supports the selection of appropriate actions and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ersonal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rotective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quipment (PPE) in addition to any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nfection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revention and </w:t>
            </w:r>
            <w:r w:rsidR="00A3694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ontrol (IPC) recommendations already in place such as patient placement and occupational aspects, (including </w:t>
            </w:r>
            <w:r w:rsidR="001B3CF8" w:rsidRPr="001B3CF8">
              <w:rPr>
                <w:rFonts w:ascii="Arial" w:hAnsi="Arial" w:cs="Arial"/>
                <w:sz w:val="24"/>
                <w:szCs w:val="24"/>
              </w:rPr>
              <w:t xml:space="preserve">health and care worker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vaccination) to further </w:t>
            </w:r>
            <w:proofErr w:type="spell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minimise</w:t>
            </w:r>
            <w:proofErr w:type="spell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any risk of exposure.  Refer to the following link for details on </w:t>
            </w:r>
            <w:r w:rsidR="001B3CF8" w:rsidRPr="001B3CF8">
              <w:rPr>
                <w:rFonts w:ascii="Arial" w:hAnsi="Arial" w:cs="Arial"/>
                <w:sz w:val="24"/>
                <w:szCs w:val="24"/>
              </w:rPr>
              <w:t xml:space="preserve">health and care worker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vaccination.  </w:t>
            </w:r>
            <w:hyperlink r:id="rId11" w:history="1">
              <w:r w:rsidR="00A3694B" w:rsidRPr="00E6628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Chapter 04 - Immunisation and Health Information for Health-Care Workers and Others in At-Risk Occupations | HIQA</w:t>
              </w:r>
            </w:hyperlink>
          </w:p>
          <w:p w14:paraId="29D41166" w14:textId="77777777" w:rsidR="00B17FB0" w:rsidRPr="00E66286" w:rsidRDefault="00B17FB0" w:rsidP="00954A01">
            <w:pPr>
              <w:pStyle w:val="CommentText"/>
              <w:jc w:val="both"/>
              <w:rPr>
                <w:rStyle w:val="Hyperlink"/>
                <w:rFonts w:ascii="Arial" w:hAnsi="Arial" w:cs="Arial"/>
                <w:sz w:val="24"/>
                <w:szCs w:val="24"/>
              </w:rPr>
            </w:pPr>
          </w:p>
          <w:p w14:paraId="5E4BB394" w14:textId="6EF35A80" w:rsidR="00E66286" w:rsidRPr="00E66286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This is a </w:t>
            </w:r>
            <w:r w:rsidR="00B17FB0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supporting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tool, and risk assessments are likely to vary from person to person.</w:t>
            </w:r>
          </w:p>
        </w:tc>
      </w:tr>
      <w:tr w:rsidR="006C32EF" w:rsidRPr="00E66286" w14:paraId="25E3EDC1" w14:textId="77777777" w:rsidTr="00F804D5">
        <w:trPr>
          <w:jc w:val="center"/>
        </w:trPr>
        <w:tc>
          <w:tcPr>
            <w:tcW w:w="9209" w:type="dxa"/>
          </w:tcPr>
          <w:p w14:paraId="7EEFD6A2" w14:textId="77777777" w:rsidR="006C32EF" w:rsidRPr="00E66286" w:rsidRDefault="006C32EF" w:rsidP="00954A01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PATIENT</w:t>
            </w:r>
          </w:p>
          <w:p w14:paraId="5209EEE0" w14:textId="77777777" w:rsidR="006C32EF" w:rsidRPr="00E66286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621DE21D" w14:textId="6DF6BDD8" w:rsidR="006C32EF" w:rsidRPr="00E66286" w:rsidRDefault="006C32EF" w:rsidP="00954A0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Has the patient recently had symptoms or contact with a person who is symptomatic with </w:t>
            </w:r>
            <w:proofErr w:type="spell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diarrhoea</w:t>
            </w:r>
            <w:proofErr w:type="spellEnd"/>
            <w:r w:rsidR="0094579B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 w:rsidR="0094579B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vomiting</w:t>
            </w:r>
            <w:r w:rsidR="008A4AA0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2F784B1A" w14:textId="29A788EC" w:rsidR="006C32EF" w:rsidRPr="00E66286" w:rsidRDefault="006C32EF" w:rsidP="00954A0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the patient identified as a potential risk of infection, for example enteric symptoms</w:t>
            </w:r>
            <w:r w:rsidR="00612FDE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(gastroenteritis)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, </w:t>
            </w:r>
            <w:proofErr w:type="spell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diarrhoea</w:t>
            </w:r>
            <w:proofErr w:type="spellEnd"/>
            <w:r w:rsidR="008A4AA0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and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recent travel</w:t>
            </w:r>
            <w:r w:rsidR="008A4AA0"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34E5F2BF" w14:textId="12D266BD" w:rsidR="006C32EF" w:rsidRPr="00E66286" w:rsidRDefault="006C32EF" w:rsidP="00954A0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Has the patient a known history of carriage/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infection with multi-</w:t>
            </w: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drug resistant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organism/s (MDROs)</w:t>
            </w:r>
          </w:p>
          <w:p w14:paraId="749E5C1B" w14:textId="4E154B00" w:rsidR="006C32EF" w:rsidRPr="00E66286" w:rsidRDefault="006C32EF" w:rsidP="00954A0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the patient mobile/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ambulatory/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independent and are they capable and willing to perform hand hygiene</w:t>
            </w:r>
            <w:r w:rsidR="008430AC">
              <w:t xml:space="preserve"> </w:t>
            </w:r>
            <w:r w:rsidR="008430AC" w:rsidRPr="008430AC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and other relevant prevention measures</w:t>
            </w:r>
          </w:p>
          <w:p w14:paraId="2727748B" w14:textId="21EB30AB" w:rsidR="002C005F" w:rsidRPr="00E66286" w:rsidRDefault="002C005F" w:rsidP="00954A0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safety risks (risk assess patient placement in a single room)</w:t>
            </w:r>
            <w:r w:rsidR="00BB090A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1B3A6CEE" w14:textId="77777777" w:rsidR="00E66286" w:rsidRDefault="00E66286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</w:pPr>
          </w:p>
          <w:p w14:paraId="083987FA" w14:textId="26D2BC45" w:rsidR="006C32EF" w:rsidRPr="00E66286" w:rsidRDefault="00130814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Prompt</w:t>
            </w:r>
            <w:r w:rsidR="00186DE1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 xml:space="preserve"> -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check </w:t>
            </w:r>
            <w:r w:rsidR="00551D9E"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surveillance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system</w:t>
            </w:r>
            <w:r w:rsidR="007551D9"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/</w:t>
            </w:r>
            <w:r w:rsidR="00551D9E"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chart</w:t>
            </w:r>
            <w:r w:rsidR="007551D9"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</w:rPr>
              <w:t>/ lab results, recent screens</w:t>
            </w:r>
          </w:p>
          <w:p w14:paraId="1AB1B27A" w14:textId="3C0BBB4F" w:rsidR="00F804D5" w:rsidRDefault="00612FDE" w:rsidP="00954A01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hAnsi="Arial" w:cs="Arial"/>
              </w:rPr>
              <w:t xml:space="preserve">Note: Contact precautions are generally not appropriate for </w:t>
            </w:r>
            <w:r w:rsidR="00F32C7D">
              <w:rPr>
                <w:rFonts w:ascii="Arial" w:hAnsi="Arial" w:cs="Arial"/>
              </w:rPr>
              <w:t xml:space="preserve">patients who are </w:t>
            </w:r>
            <w:r w:rsidRPr="00E66286">
              <w:rPr>
                <w:rFonts w:ascii="Arial" w:hAnsi="Arial" w:cs="Arial"/>
              </w:rPr>
              <w:t>colonis</w:t>
            </w:r>
            <w:r w:rsidR="00F32C7D">
              <w:rPr>
                <w:rFonts w:ascii="Arial" w:hAnsi="Arial" w:cs="Arial"/>
              </w:rPr>
              <w:t>ed</w:t>
            </w:r>
            <w:r w:rsidRPr="00E66286">
              <w:rPr>
                <w:rFonts w:ascii="Arial" w:hAnsi="Arial" w:cs="Arial"/>
              </w:rPr>
              <w:t xml:space="preserve"> with MDRO</w:t>
            </w:r>
            <w:r w:rsidR="005452C0" w:rsidRPr="00E66286">
              <w:rPr>
                <w:rFonts w:ascii="Arial" w:hAnsi="Arial" w:cs="Arial"/>
              </w:rPr>
              <w:t xml:space="preserve"> </w:t>
            </w:r>
            <w:r w:rsidRPr="00E66286">
              <w:rPr>
                <w:rFonts w:ascii="Arial" w:hAnsi="Arial" w:cs="Arial"/>
              </w:rPr>
              <w:t>in many non-acute care settings</w:t>
            </w:r>
            <w:r w:rsidR="00F32C7D">
              <w:rPr>
                <w:rFonts w:ascii="Arial" w:hAnsi="Arial" w:cs="Arial"/>
              </w:rPr>
              <w:t>;</w:t>
            </w:r>
            <w:r w:rsidR="007A5ED3" w:rsidRPr="00E66286">
              <w:rPr>
                <w:rFonts w:ascii="Arial" w:hAnsi="Arial" w:cs="Arial"/>
              </w:rPr>
              <w:t xml:space="preserve"> please refer to NCEC page 112, Section 3.4 for further advice/</w:t>
            </w:r>
            <w:r w:rsidR="00F32C7D">
              <w:rPr>
                <w:rFonts w:ascii="Arial" w:hAnsi="Arial" w:cs="Arial"/>
              </w:rPr>
              <w:t xml:space="preserve"> </w:t>
            </w:r>
            <w:r w:rsidR="007A5ED3" w:rsidRPr="00E66286">
              <w:rPr>
                <w:rFonts w:ascii="Arial" w:hAnsi="Arial" w:cs="Arial"/>
              </w:rPr>
              <w:t>guidance</w:t>
            </w:r>
            <w:r w:rsidR="004F0146">
              <w:rPr>
                <w:rFonts w:ascii="Arial" w:hAnsi="Arial" w:cs="Arial"/>
              </w:rPr>
              <w:t>.</w:t>
            </w:r>
          </w:p>
          <w:p w14:paraId="1CD03470" w14:textId="77777777" w:rsidR="004F0146" w:rsidRDefault="004F0146" w:rsidP="00954A01">
            <w:pPr>
              <w:pStyle w:val="NormalWeb"/>
              <w:spacing w:after="0" w:afterAutospacing="0"/>
              <w:jc w:val="both"/>
              <w:rPr>
                <w:rFonts w:ascii="Arial" w:hAnsi="Arial" w:cs="Arial"/>
              </w:rPr>
            </w:pPr>
          </w:p>
          <w:p w14:paraId="63069B73" w14:textId="419D0A10" w:rsidR="00F804D5" w:rsidRPr="00E66286" w:rsidRDefault="00F804D5" w:rsidP="00954A01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T</w:t>
            </w:r>
            <w:r w:rsidR="00D6537C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ASKS</w:t>
            </w:r>
          </w:p>
          <w:p w14:paraId="0F8677A7" w14:textId="77777777" w:rsidR="00F804D5" w:rsidRPr="00E66286" w:rsidRDefault="00F804D5" w:rsidP="00954A01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34A8F239" w14:textId="77777777" w:rsidR="00F804D5" w:rsidRPr="00E66286" w:rsidRDefault="00F804D5" w:rsidP="00954A0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What type of task am I about to perform? Is this a non-clinical interaction?</w:t>
            </w:r>
          </w:p>
          <w:p w14:paraId="651A6586" w14:textId="77777777" w:rsidR="002F41BF" w:rsidRPr="002F41BF" w:rsidRDefault="00F804D5" w:rsidP="00954A0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</w:t>
            </w: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this a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clinical intervention? </w:t>
            </w:r>
          </w:p>
          <w:p w14:paraId="50614328" w14:textId="64F9FAE1" w:rsidR="00F804D5" w:rsidRPr="00E66286" w:rsidRDefault="00F804D5" w:rsidP="00954A0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Am I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about to perform a task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,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for example providing personal care, bathing, assisting with toileting, carrying out a procedure, such as wound care, catheter care (high contact / low contact)</w:t>
            </w:r>
          </w:p>
          <w:p w14:paraId="3E5A3630" w14:textId="397B12F6" w:rsidR="00F804D5" w:rsidRPr="00E66286" w:rsidRDefault="00F804D5" w:rsidP="00954A0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Will the task increase the likelihood that my skin/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clothing will become contaminated? (high contact / low contact)</w:t>
            </w:r>
          </w:p>
          <w:p w14:paraId="2610D536" w14:textId="419331B2" w:rsidR="00F804D5" w:rsidRDefault="00F804D5" w:rsidP="00954A0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ENVIRONMENT</w:t>
            </w:r>
          </w:p>
          <w:p w14:paraId="6ED04F75" w14:textId="77777777" w:rsidR="00F804D5" w:rsidRPr="00E66286" w:rsidRDefault="00F804D5" w:rsidP="00954A01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Consider:</w:t>
            </w:r>
          </w:p>
          <w:p w14:paraId="48852959" w14:textId="45DAB896" w:rsidR="00F804D5" w:rsidRPr="00E66286" w:rsidRDefault="00F804D5" w:rsidP="00954A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bookmarkStart w:id="0" w:name="_Hlk206161197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the person located in a single room/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multi-bedded room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37902043" w14:textId="72E8256F" w:rsidR="00F804D5" w:rsidRPr="00E66286" w:rsidRDefault="00F804D5" w:rsidP="00954A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Think about equipment.  Is there dedicated equipment for the patient (blood pressure monitor, cuff, thermometer, hoist sling)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</w:t>
            </w:r>
          </w:p>
          <w:p w14:paraId="2F327784" w14:textId="168D8146" w:rsidR="00F804D5" w:rsidRPr="00E66286" w:rsidRDefault="00F804D5" w:rsidP="00954A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Is the equipment shared, for example commode, hoist, blood glucose monitor, blood pressure monitor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 If yes, clean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and disinfect reusable equipment between each use.</w:t>
            </w:r>
          </w:p>
          <w:p w14:paraId="36392A32" w14:textId="4E006E59" w:rsidR="00F804D5" w:rsidRPr="00F804D5" w:rsidRDefault="00F804D5" w:rsidP="00954A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Risk </w:t>
            </w: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assess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is there a risk to/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from other individuals (for example shared rooms, mobile patients with infectious symptoms)?</w:t>
            </w:r>
          </w:p>
          <w:p w14:paraId="045E049F" w14:textId="46DC5D97" w:rsidR="00F804D5" w:rsidRPr="00E66286" w:rsidRDefault="00F804D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space for physical distancing/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items of equipment</w:t>
            </w:r>
            <w:bookmarkEnd w:id="0"/>
            <w:r w:rsidR="00BB090A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</w:tc>
      </w:tr>
      <w:tr w:rsidR="006C32EF" w:rsidRPr="00E66286" w14:paraId="3579EC92" w14:textId="77777777" w:rsidTr="00F804D5">
        <w:trPr>
          <w:jc w:val="center"/>
        </w:trPr>
        <w:tc>
          <w:tcPr>
            <w:tcW w:w="9209" w:type="dxa"/>
          </w:tcPr>
          <w:p w14:paraId="367B5BB5" w14:textId="71103485" w:rsidR="00E66286" w:rsidRPr="00E66286" w:rsidRDefault="006C32EF" w:rsidP="00954A01">
            <w:pPr>
              <w:pStyle w:val="Style1"/>
              <w:jc w:val="both"/>
              <w:rPr>
                <w:rFonts w:eastAsiaTheme="minorEastAsia"/>
                <w:lang w:val="en-US"/>
              </w:rPr>
            </w:pPr>
            <w:r w:rsidRPr="00E66286">
              <w:rPr>
                <w:rFonts w:eastAsiaTheme="minorEastAsia"/>
                <w:lang w:val="en-US"/>
              </w:rPr>
              <w:lastRenderedPageBreak/>
              <w:t>Step 2</w:t>
            </w:r>
          </w:p>
        </w:tc>
      </w:tr>
      <w:tr w:rsidR="006C32EF" w:rsidRPr="00E66286" w14:paraId="617F9CBE" w14:textId="77777777" w:rsidTr="00F804D5">
        <w:trPr>
          <w:jc w:val="center"/>
        </w:trPr>
        <w:tc>
          <w:tcPr>
            <w:tcW w:w="9209" w:type="dxa"/>
          </w:tcPr>
          <w:p w14:paraId="48570A31" w14:textId="22DE8D7A" w:rsidR="006C32EF" w:rsidRPr="00E66286" w:rsidRDefault="006C32EF" w:rsidP="00954A01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Choose appropriate PPE and implement the required actions </w:t>
            </w:r>
            <w:r w:rsidR="00F32C7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in line with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standard precautions including the following: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773D57F1" w14:textId="02265BC9" w:rsidR="006C32EF" w:rsidRPr="000E5817" w:rsidRDefault="006C32EF" w:rsidP="000E5817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0E581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Clean your hands </w:t>
            </w:r>
            <w:r w:rsidR="00F32C7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in line with </w:t>
            </w:r>
            <w:r w:rsidR="00B41485" w:rsidRPr="000E581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the </w:t>
            </w:r>
            <w:r w:rsidRPr="000E5817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WHO 5 moments</w:t>
            </w:r>
            <w:r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  Ensure access to hand hygiene product</w:t>
            </w:r>
            <w:r w:rsidR="00B41485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s/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B41485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facilities</w:t>
            </w:r>
            <w:r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&amp; select</w:t>
            </w:r>
            <w:r w:rsidR="007A5ED3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as appropriate</w:t>
            </w:r>
            <w:r w:rsidR="000C11D6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0E5817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(</w:t>
            </w:r>
            <w:proofErr w:type="gramStart"/>
            <w:r w:rsidR="000E5817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alcohol based</w:t>
            </w:r>
            <w:proofErr w:type="gramEnd"/>
            <w:r w:rsidR="000E5817" w:rsidRPr="000E5817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hand rub / handwashing)  </w:t>
            </w:r>
          </w:p>
          <w:p w14:paraId="0763BD7A" w14:textId="14448AE9" w:rsidR="006C32EF" w:rsidRPr="00E66286" w:rsidRDefault="006C32EF" w:rsidP="00954A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Gloves: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Risk </w:t>
            </w:r>
            <w:proofErr w:type="gramStart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assess</w:t>
            </w:r>
            <w:proofErr w:type="gramEnd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glove requirement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;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consider in relation to tasks </w:t>
            </w:r>
            <w:r w:rsidR="00E8481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such as contact with chemicals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or if there is a risk of blood/</w:t>
            </w:r>
            <w:r w:rsidR="00F32C7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body fluid</w:t>
            </w:r>
            <w:r w:rsidR="00E8481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6E6573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exposure** </w:t>
            </w:r>
            <w:r w:rsidR="00E8481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(for example: urine, vomitus, </w:t>
            </w:r>
            <w:proofErr w:type="spellStart"/>
            <w:r w:rsidR="00E8481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faecal</w:t>
            </w:r>
            <w:proofErr w:type="spellEnd"/>
            <w:r w:rsidR="00E8481B"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matter etc.)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</w:p>
          <w:p w14:paraId="1868ADCA" w14:textId="77777777" w:rsidR="006C32EF" w:rsidRPr="00E66286" w:rsidRDefault="006C32EF" w:rsidP="00954A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Apron: </w:t>
            </w: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low level contact/ interaction with the patient</w:t>
            </w:r>
          </w:p>
          <w:p w14:paraId="02DFE844" w14:textId="77777777" w:rsidR="006C32EF" w:rsidRPr="00E66286" w:rsidRDefault="006C32EF" w:rsidP="00954A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Gown: </w:t>
            </w:r>
            <w:bookmarkStart w:id="1" w:name="_Hlk206163738"/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High level contact/ interaction with the patient </w:t>
            </w:r>
            <w:bookmarkEnd w:id="1"/>
          </w:p>
          <w:p w14:paraId="62DE2FEC" w14:textId="461C86C4" w:rsidR="006C32EF" w:rsidRPr="00E66286" w:rsidRDefault="006C32EF" w:rsidP="00954A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Disposal of PPE</w:t>
            </w:r>
            <w:r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: Risk </w:t>
            </w:r>
            <w:proofErr w:type="gramStart"/>
            <w:r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assess</w:t>
            </w:r>
            <w:proofErr w:type="gramEnd"/>
            <w:r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disposal in healthcare risk waste/</w:t>
            </w:r>
            <w:r w:rsidR="00F32C7D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r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non risk waste streams (inside the patient</w:t>
            </w:r>
            <w:r w:rsidR="00A92101"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’</w:t>
            </w:r>
            <w:r w:rsidRPr="00E66286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 room)</w:t>
            </w:r>
          </w:p>
          <w:p w14:paraId="2E4D2B37" w14:textId="77777777" w:rsidR="006C32EF" w:rsidRPr="00E66286" w:rsidRDefault="006C32EF" w:rsidP="00954A01">
            <w:pPr>
              <w:jc w:val="both"/>
              <w:rPr>
                <w:rFonts w:ascii="Arial" w:hAnsi="Arial" w:cs="Arial"/>
              </w:rPr>
            </w:pPr>
          </w:p>
        </w:tc>
      </w:tr>
      <w:tr w:rsidR="00D6537C" w:rsidRPr="00E66286" w14:paraId="6FCB1F9E" w14:textId="77777777" w:rsidTr="00F804D5">
        <w:trPr>
          <w:jc w:val="center"/>
        </w:trPr>
        <w:tc>
          <w:tcPr>
            <w:tcW w:w="9209" w:type="dxa"/>
          </w:tcPr>
          <w:p w14:paraId="4D7A24A8" w14:textId="77777777" w:rsidR="00D6537C" w:rsidRPr="00493262" w:rsidRDefault="00D6537C" w:rsidP="00D6537C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NOTE: </w:t>
            </w: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Reassessment of PPE requirements should occur as the clinical scenario develops to reflect changes in transmission risk</w:t>
            </w:r>
          </w:p>
          <w:p w14:paraId="61DD2954" w14:textId="77777777" w:rsidR="00D6537C" w:rsidRPr="00493262" w:rsidRDefault="00D6537C" w:rsidP="00D6537C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  <w:p w14:paraId="7C8775B8" w14:textId="77777777" w:rsidR="00D6537C" w:rsidRPr="00493262" w:rsidRDefault="00D6537C" w:rsidP="00D6537C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Visitors do not routinely need to wear PPE.  They should be encouraged to clean their hands before and after visiting the patient. </w:t>
            </w:r>
          </w:p>
          <w:p w14:paraId="73BC1DDC" w14:textId="2BAA989C" w:rsidR="00D6537C" w:rsidRDefault="00D6537C" w:rsidP="00D6537C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9326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Advise and support visitors regarding PPE, as appropriate</w:t>
            </w:r>
          </w:p>
          <w:p w14:paraId="4893F92D" w14:textId="5E659F89" w:rsidR="00D6537C" w:rsidRPr="00E66286" w:rsidRDefault="00D6537C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E604B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Visitors should not visit if they have any acute onset respiratory or GI symptoms.</w:t>
            </w:r>
          </w:p>
        </w:tc>
      </w:tr>
      <w:tr w:rsidR="00D6537C" w:rsidRPr="00E66286" w14:paraId="0FD8D738" w14:textId="77777777" w:rsidTr="00F804D5">
        <w:trPr>
          <w:jc w:val="center"/>
        </w:trPr>
        <w:tc>
          <w:tcPr>
            <w:tcW w:w="9209" w:type="dxa"/>
          </w:tcPr>
          <w:p w14:paraId="466D7C79" w14:textId="061A319C" w:rsidR="00D6537C" w:rsidRPr="00E66286" w:rsidRDefault="00D6537C" w:rsidP="00D6537C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E6628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*For further information, refer to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.</w:t>
            </w:r>
            <w:r w:rsidRPr="00E66286">
              <w:rPr>
                <w:rFonts w:ascii="Arial" w:hAnsi="Arial" w:cs="Arial"/>
              </w:rPr>
              <w:t xml:space="preserve"> </w:t>
            </w: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Department of Health (2023). NCG, National Clinical Guideline No. 30 Infection Prevention and Control.</w:t>
            </w:r>
          </w:p>
          <w:p w14:paraId="714CF9C8" w14:textId="77777777" w:rsidR="00D6537C" w:rsidRDefault="00D6537C" w:rsidP="00D6537C">
            <w:pPr>
              <w:jc w:val="both"/>
            </w:pPr>
            <w:r w:rsidRPr="00E66286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lastRenderedPageBreak/>
              <w:t xml:space="preserve">Available at: </w:t>
            </w:r>
            <w:hyperlink r:id="rId12" w:history="1">
              <w:r w:rsidRPr="00E66286">
                <w:rPr>
                  <w:rStyle w:val="Hyperlink"/>
                  <w:rFonts w:ascii="Arial" w:eastAsiaTheme="minorEastAsia" w:hAnsi="Arial" w:cs="Arial"/>
                  <w:kern w:val="24"/>
                  <w:sz w:val="24"/>
                  <w:szCs w:val="24"/>
                  <w:lang w:eastAsia="en-IE"/>
                </w:rPr>
                <w:t>https://www.gov.ie/en/department-of-health/publications/infection-prevention-and-control-ipc/</w:t>
              </w:r>
            </w:hyperlink>
          </w:p>
          <w:p w14:paraId="45DFB9DC" w14:textId="77777777" w:rsidR="004F0146" w:rsidRPr="00E66286" w:rsidRDefault="004F0146" w:rsidP="00D6537C">
            <w:pPr>
              <w:jc w:val="both"/>
              <w:rPr>
                <w:rFonts w:ascii="Arial" w:hAnsi="Arial" w:cs="Arial"/>
              </w:rPr>
            </w:pPr>
          </w:p>
          <w:p w14:paraId="0EEF9990" w14:textId="36997D7B" w:rsidR="00D6537C" w:rsidRPr="00E66286" w:rsidRDefault="00D6537C" w:rsidP="00D6537C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hAnsi="Arial" w:cs="Arial"/>
                <w:sz w:val="24"/>
                <w:szCs w:val="24"/>
                <w:lang w:eastAsia="en-IE"/>
              </w:rPr>
              <w:t>*PCRA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poster</w:t>
            </w:r>
          </w:p>
          <w:p w14:paraId="2B03BE0D" w14:textId="77777777" w:rsidR="00D6537C" w:rsidRDefault="00D6537C" w:rsidP="00D6537C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E66286">
              <w:rPr>
                <w:rFonts w:ascii="Arial" w:hAnsi="Arial" w:cs="Arial"/>
                <w:sz w:val="24"/>
                <w:szCs w:val="24"/>
                <w:lang w:eastAsia="en-IE"/>
              </w:rPr>
              <w:t>** Gloves off</w:t>
            </w:r>
          </w:p>
          <w:p w14:paraId="460A2FCE" w14:textId="07F567F7" w:rsidR="00D6537C" w:rsidRPr="00254243" w:rsidRDefault="00D6537C" w:rsidP="00D6537C">
            <w:pPr>
              <w:spacing w:after="160" w:line="259" w:lineRule="auto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eastAsia="en-IE"/>
              </w:rPr>
            </w:pPr>
            <w:bookmarkStart w:id="2" w:name="_Hlk206164696"/>
            <w:r w:rsidRPr="005E50B2">
              <w:rPr>
                <w:b/>
              </w:rPr>
              <w:t>Footnote</w:t>
            </w:r>
            <w:r w:rsidRPr="00735284">
              <w:rPr>
                <w:sz w:val="18"/>
                <w:szCs w:val="18"/>
              </w:rPr>
              <w:t xml:space="preserve"> </w:t>
            </w:r>
            <w:r w:rsidRPr="00652BC2">
              <w:rPr>
                <w:rFonts w:ascii="Calibri" w:eastAsia="Calibri" w:hAnsi="Calibri" w:cs="Times New Roman"/>
                <w:bCs/>
                <w:color w:val="000000"/>
                <w:kern w:val="24"/>
                <w:sz w:val="18"/>
                <w:szCs w:val="18"/>
                <w:lang w:eastAsia="en-IE"/>
              </w:rPr>
              <w:t>The term patient refers to patients, service users, clients, residents, person, supported individual</w:t>
            </w:r>
            <w:bookmarkStart w:id="3" w:name="_Hlk115684541"/>
            <w:bookmarkEnd w:id="2"/>
            <w:bookmarkEnd w:id="3"/>
          </w:p>
        </w:tc>
      </w:tr>
    </w:tbl>
    <w:p w14:paraId="499EC021" w14:textId="77777777" w:rsidR="00D6537C" w:rsidRDefault="00D6537C" w:rsidP="004F0146">
      <w:pPr>
        <w:rPr>
          <w:rFonts w:ascii="Calibri" w:eastAsia="Calibri" w:hAnsi="Calibri" w:cs="Times New Roman"/>
          <w:bCs/>
          <w:color w:val="000000"/>
          <w:kern w:val="24"/>
          <w:sz w:val="18"/>
          <w:szCs w:val="18"/>
          <w:lang w:eastAsia="en-IE"/>
        </w:rPr>
      </w:pPr>
    </w:p>
    <w:sectPr w:rsidR="00D6537C" w:rsidSect="00D01393">
      <w:headerReference w:type="default" r:id="rId13"/>
      <w:footerReference w:type="default" r:id="rId14"/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CAAB" w14:textId="77777777" w:rsidR="00A12C98" w:rsidRDefault="00A12C98" w:rsidP="0075095C">
      <w:pPr>
        <w:spacing w:after="0" w:line="240" w:lineRule="auto"/>
      </w:pPr>
      <w:r>
        <w:separator/>
      </w:r>
    </w:p>
  </w:endnote>
  <w:endnote w:type="continuationSeparator" w:id="0">
    <w:p w14:paraId="007F4A75" w14:textId="77777777" w:rsidR="00A12C98" w:rsidRDefault="00A12C98" w:rsidP="0075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B9BE" w14:textId="497672ED" w:rsidR="006E51B6" w:rsidRPr="0016594F" w:rsidRDefault="006E51B6" w:rsidP="006E51B6">
    <w:pPr>
      <w:pStyle w:val="Footer"/>
      <w:jc w:val="right"/>
      <w:rPr>
        <w:sz w:val="16"/>
        <w:szCs w:val="16"/>
      </w:rPr>
    </w:pPr>
    <w:r w:rsidRPr="0016594F">
      <w:rPr>
        <w:sz w:val="16"/>
        <w:szCs w:val="16"/>
      </w:rPr>
      <w:t>Version 1 September 2025</w:t>
    </w:r>
  </w:p>
  <w:p w14:paraId="4C2D8BB4" w14:textId="70D57F02" w:rsidR="006E51B6" w:rsidRDefault="006E51B6" w:rsidP="006E51B6">
    <w:pPr>
      <w:pStyle w:val="Footer"/>
      <w:jc w:val="right"/>
    </w:pPr>
  </w:p>
  <w:p w14:paraId="00281BBD" w14:textId="77777777" w:rsidR="00D01393" w:rsidRDefault="00D01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D37C" w14:textId="77777777" w:rsidR="00A12C98" w:rsidRDefault="00A12C98" w:rsidP="0075095C">
      <w:pPr>
        <w:spacing w:after="0" w:line="240" w:lineRule="auto"/>
      </w:pPr>
      <w:r>
        <w:separator/>
      </w:r>
    </w:p>
  </w:footnote>
  <w:footnote w:type="continuationSeparator" w:id="0">
    <w:p w14:paraId="4BED65BC" w14:textId="77777777" w:rsidR="00A12C98" w:rsidRDefault="00A12C98" w:rsidP="0075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7F4E" w14:textId="1DBEFBA9" w:rsidR="0057517E" w:rsidRDefault="0057517E">
    <w:pPr>
      <w:pStyle w:val="Header"/>
    </w:pPr>
  </w:p>
  <w:p w14:paraId="3106BAFE" w14:textId="588C0BA2" w:rsidR="0075095C" w:rsidRDefault="0057517E">
    <w:pPr>
      <w:pStyle w:val="Header"/>
    </w:pPr>
    <w:r w:rsidRPr="00442809">
      <w:rPr>
        <w:noProof/>
        <w:sz w:val="20"/>
        <w:lang w:eastAsia="en-IE"/>
      </w:rPr>
      <w:drawing>
        <wp:inline distT="0" distB="0" distL="0" distR="0" wp14:anchorId="1B05E309" wp14:editId="28B2AC75">
          <wp:extent cx="711476" cy="547124"/>
          <wp:effectExtent l="0" t="0" r="0" b="5715"/>
          <wp:docPr id="1" name="image1.png" descr="A green letter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green letter with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465" cy="550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BB9">
      <w:rPr>
        <w:noProof/>
      </w:rPr>
      <w:t xml:space="preserve">                                                                                                                       </w:t>
    </w:r>
    <w:r w:rsidR="00665E0B">
      <w:rPr>
        <w:noProof/>
      </w:rPr>
      <w:t xml:space="preserve">          </w:t>
    </w:r>
    <w:r w:rsidR="00515BB9">
      <w:rPr>
        <w:noProof/>
      </w:rPr>
      <w:t xml:space="preserve">   </w:t>
    </w:r>
    <w:r w:rsidR="00515BB9">
      <w:rPr>
        <w:noProof/>
      </w:rPr>
      <w:drawing>
        <wp:inline distT="0" distB="0" distL="0" distR="0" wp14:anchorId="32A63D7C" wp14:editId="4B30155A">
          <wp:extent cx="792692" cy="533400"/>
          <wp:effectExtent l="0" t="0" r="7620" b="0"/>
          <wp:docPr id="1550592461" name="Picture 155059246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592461" name="Picture 155059246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048" cy="53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EE1"/>
    <w:multiLevelType w:val="hybridMultilevel"/>
    <w:tmpl w:val="190C2F3A"/>
    <w:lvl w:ilvl="0" w:tplc="904063C0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AB2"/>
    <w:multiLevelType w:val="hybridMultilevel"/>
    <w:tmpl w:val="6264061A"/>
    <w:lvl w:ilvl="0" w:tplc="9F003CBC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E74AE"/>
    <w:multiLevelType w:val="hybridMultilevel"/>
    <w:tmpl w:val="1CB6D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5FF2"/>
    <w:multiLevelType w:val="hybridMultilevel"/>
    <w:tmpl w:val="319A47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76175"/>
    <w:multiLevelType w:val="hybridMultilevel"/>
    <w:tmpl w:val="29645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03BD"/>
    <w:multiLevelType w:val="hybridMultilevel"/>
    <w:tmpl w:val="92149A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163CF"/>
    <w:multiLevelType w:val="hybridMultilevel"/>
    <w:tmpl w:val="A21A38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60121"/>
    <w:multiLevelType w:val="hybridMultilevel"/>
    <w:tmpl w:val="864817BC"/>
    <w:lvl w:ilvl="0" w:tplc="2FB0F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dark1"/>
        <w:sz w:val="3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E19"/>
    <w:multiLevelType w:val="hybridMultilevel"/>
    <w:tmpl w:val="2898D066"/>
    <w:lvl w:ilvl="0" w:tplc="71AC6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C4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6E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5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0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6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AB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E63F15"/>
    <w:multiLevelType w:val="hybridMultilevel"/>
    <w:tmpl w:val="8DB27A72"/>
    <w:lvl w:ilvl="0" w:tplc="90DE105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1C7E"/>
    <w:multiLevelType w:val="hybridMultilevel"/>
    <w:tmpl w:val="9C8AE2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96"/>
    <w:multiLevelType w:val="hybridMultilevel"/>
    <w:tmpl w:val="F75AC190"/>
    <w:lvl w:ilvl="0" w:tplc="0590D7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="Calibri" w:cstheme="minorBidi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F1559"/>
    <w:multiLevelType w:val="hybridMultilevel"/>
    <w:tmpl w:val="B13E0C96"/>
    <w:lvl w:ilvl="0" w:tplc="4EEAD2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3B765D"/>
    <w:multiLevelType w:val="hybridMultilevel"/>
    <w:tmpl w:val="4E4630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36486"/>
    <w:multiLevelType w:val="hybridMultilevel"/>
    <w:tmpl w:val="5A0A8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34D65"/>
    <w:multiLevelType w:val="hybridMultilevel"/>
    <w:tmpl w:val="92149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94901"/>
    <w:multiLevelType w:val="hybridMultilevel"/>
    <w:tmpl w:val="C972B988"/>
    <w:lvl w:ilvl="0" w:tplc="06427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8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2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5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E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4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8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B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4385543">
    <w:abstractNumId w:val="3"/>
  </w:num>
  <w:num w:numId="2" w16cid:durableId="1910921469">
    <w:abstractNumId w:val="7"/>
  </w:num>
  <w:num w:numId="3" w16cid:durableId="99761643">
    <w:abstractNumId w:val="16"/>
  </w:num>
  <w:num w:numId="4" w16cid:durableId="246156349">
    <w:abstractNumId w:val="11"/>
  </w:num>
  <w:num w:numId="5" w16cid:durableId="1671564310">
    <w:abstractNumId w:val="4"/>
  </w:num>
  <w:num w:numId="6" w16cid:durableId="1262420653">
    <w:abstractNumId w:val="14"/>
  </w:num>
  <w:num w:numId="7" w16cid:durableId="599800201">
    <w:abstractNumId w:val="10"/>
  </w:num>
  <w:num w:numId="8" w16cid:durableId="1040857769">
    <w:abstractNumId w:val="2"/>
  </w:num>
  <w:num w:numId="9" w16cid:durableId="677149140">
    <w:abstractNumId w:val="8"/>
  </w:num>
  <w:num w:numId="10" w16cid:durableId="1615676702">
    <w:abstractNumId w:val="1"/>
  </w:num>
  <w:num w:numId="11" w16cid:durableId="53509719">
    <w:abstractNumId w:val="9"/>
  </w:num>
  <w:num w:numId="12" w16cid:durableId="1326200420">
    <w:abstractNumId w:val="5"/>
  </w:num>
  <w:num w:numId="13" w16cid:durableId="1599675109">
    <w:abstractNumId w:val="0"/>
  </w:num>
  <w:num w:numId="14" w16cid:durableId="1133404978">
    <w:abstractNumId w:val="15"/>
  </w:num>
  <w:num w:numId="15" w16cid:durableId="466317019">
    <w:abstractNumId w:val="12"/>
  </w:num>
  <w:num w:numId="16" w16cid:durableId="694424032">
    <w:abstractNumId w:val="6"/>
  </w:num>
  <w:num w:numId="17" w16cid:durableId="1365211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20"/>
    <w:rsid w:val="000054B6"/>
    <w:rsid w:val="000228F0"/>
    <w:rsid w:val="00030092"/>
    <w:rsid w:val="0004766A"/>
    <w:rsid w:val="000562F8"/>
    <w:rsid w:val="00083DF4"/>
    <w:rsid w:val="000B5364"/>
    <w:rsid w:val="000B595A"/>
    <w:rsid w:val="000C11D6"/>
    <w:rsid w:val="000E5817"/>
    <w:rsid w:val="00130814"/>
    <w:rsid w:val="00164584"/>
    <w:rsid w:val="0018617C"/>
    <w:rsid w:val="00186DE1"/>
    <w:rsid w:val="001A3DA5"/>
    <w:rsid w:val="001B3CF8"/>
    <w:rsid w:val="001C0555"/>
    <w:rsid w:val="001D38DB"/>
    <w:rsid w:val="001D4C3D"/>
    <w:rsid w:val="001E01DE"/>
    <w:rsid w:val="001E34E1"/>
    <w:rsid w:val="001E3B2B"/>
    <w:rsid w:val="00225212"/>
    <w:rsid w:val="00227DD2"/>
    <w:rsid w:val="00234D53"/>
    <w:rsid w:val="00254243"/>
    <w:rsid w:val="00292F8E"/>
    <w:rsid w:val="002A3CE1"/>
    <w:rsid w:val="002C005F"/>
    <w:rsid w:val="002C4E47"/>
    <w:rsid w:val="002E240F"/>
    <w:rsid w:val="002F41BF"/>
    <w:rsid w:val="002F7849"/>
    <w:rsid w:val="00303449"/>
    <w:rsid w:val="00305C82"/>
    <w:rsid w:val="00307023"/>
    <w:rsid w:val="00332FF4"/>
    <w:rsid w:val="00360A1C"/>
    <w:rsid w:val="003D1948"/>
    <w:rsid w:val="003F3053"/>
    <w:rsid w:val="003F6118"/>
    <w:rsid w:val="00455ED9"/>
    <w:rsid w:val="00486626"/>
    <w:rsid w:val="004A041A"/>
    <w:rsid w:val="004B15DA"/>
    <w:rsid w:val="004B1846"/>
    <w:rsid w:val="004B6A46"/>
    <w:rsid w:val="004D189E"/>
    <w:rsid w:val="004D7079"/>
    <w:rsid w:val="004F0146"/>
    <w:rsid w:val="004F06A4"/>
    <w:rsid w:val="00515BB9"/>
    <w:rsid w:val="00521C5A"/>
    <w:rsid w:val="00543028"/>
    <w:rsid w:val="005452C0"/>
    <w:rsid w:val="00551321"/>
    <w:rsid w:val="00551D9E"/>
    <w:rsid w:val="0056276E"/>
    <w:rsid w:val="0057517E"/>
    <w:rsid w:val="005759A4"/>
    <w:rsid w:val="00581E89"/>
    <w:rsid w:val="005918A2"/>
    <w:rsid w:val="005A4D3B"/>
    <w:rsid w:val="005E50B2"/>
    <w:rsid w:val="005F4A09"/>
    <w:rsid w:val="006073A8"/>
    <w:rsid w:val="006073D5"/>
    <w:rsid w:val="00612FDE"/>
    <w:rsid w:val="00623D5F"/>
    <w:rsid w:val="006265F7"/>
    <w:rsid w:val="006371B0"/>
    <w:rsid w:val="0064286B"/>
    <w:rsid w:val="006519E4"/>
    <w:rsid w:val="00652BC2"/>
    <w:rsid w:val="00653D20"/>
    <w:rsid w:val="006579F3"/>
    <w:rsid w:val="00665035"/>
    <w:rsid w:val="00665E0B"/>
    <w:rsid w:val="006C32EF"/>
    <w:rsid w:val="006E51B6"/>
    <w:rsid w:val="006E6573"/>
    <w:rsid w:val="006F3368"/>
    <w:rsid w:val="00713E44"/>
    <w:rsid w:val="00715DE5"/>
    <w:rsid w:val="00735284"/>
    <w:rsid w:val="0075095C"/>
    <w:rsid w:val="00755078"/>
    <w:rsid w:val="007551D9"/>
    <w:rsid w:val="00774783"/>
    <w:rsid w:val="00786913"/>
    <w:rsid w:val="007A155C"/>
    <w:rsid w:val="007A56EB"/>
    <w:rsid w:val="007A5ED3"/>
    <w:rsid w:val="007B1C09"/>
    <w:rsid w:val="007B6AC0"/>
    <w:rsid w:val="007F0CEC"/>
    <w:rsid w:val="007F39E3"/>
    <w:rsid w:val="007F7786"/>
    <w:rsid w:val="00801EA0"/>
    <w:rsid w:val="008203B0"/>
    <w:rsid w:val="008234AB"/>
    <w:rsid w:val="008248F3"/>
    <w:rsid w:val="0082539C"/>
    <w:rsid w:val="00834EEC"/>
    <w:rsid w:val="00837B20"/>
    <w:rsid w:val="008430AC"/>
    <w:rsid w:val="008855C6"/>
    <w:rsid w:val="00886059"/>
    <w:rsid w:val="008866EB"/>
    <w:rsid w:val="008A4AA0"/>
    <w:rsid w:val="008F34C1"/>
    <w:rsid w:val="009172D6"/>
    <w:rsid w:val="00917CE5"/>
    <w:rsid w:val="00926EFF"/>
    <w:rsid w:val="0094579B"/>
    <w:rsid w:val="00947DE0"/>
    <w:rsid w:val="00954A01"/>
    <w:rsid w:val="00983001"/>
    <w:rsid w:val="009901E2"/>
    <w:rsid w:val="00991BB3"/>
    <w:rsid w:val="00997BE3"/>
    <w:rsid w:val="009A35D5"/>
    <w:rsid w:val="009B7109"/>
    <w:rsid w:val="009D21AE"/>
    <w:rsid w:val="009F46F0"/>
    <w:rsid w:val="00A10960"/>
    <w:rsid w:val="00A12C98"/>
    <w:rsid w:val="00A31738"/>
    <w:rsid w:val="00A3694B"/>
    <w:rsid w:val="00A46270"/>
    <w:rsid w:val="00A57EEC"/>
    <w:rsid w:val="00A92101"/>
    <w:rsid w:val="00AA39A7"/>
    <w:rsid w:val="00AE37DF"/>
    <w:rsid w:val="00B17FB0"/>
    <w:rsid w:val="00B2210E"/>
    <w:rsid w:val="00B242EB"/>
    <w:rsid w:val="00B41485"/>
    <w:rsid w:val="00B4496E"/>
    <w:rsid w:val="00B45F5E"/>
    <w:rsid w:val="00B53CF9"/>
    <w:rsid w:val="00B61461"/>
    <w:rsid w:val="00B7789D"/>
    <w:rsid w:val="00BA2856"/>
    <w:rsid w:val="00BB090A"/>
    <w:rsid w:val="00BB20D5"/>
    <w:rsid w:val="00BC3AE6"/>
    <w:rsid w:val="00BD7A80"/>
    <w:rsid w:val="00BE62DE"/>
    <w:rsid w:val="00C066A6"/>
    <w:rsid w:val="00C35267"/>
    <w:rsid w:val="00C46410"/>
    <w:rsid w:val="00C63695"/>
    <w:rsid w:val="00C9341D"/>
    <w:rsid w:val="00CA2D6E"/>
    <w:rsid w:val="00CD2053"/>
    <w:rsid w:val="00CE07E8"/>
    <w:rsid w:val="00CE0C00"/>
    <w:rsid w:val="00CE38E0"/>
    <w:rsid w:val="00CF7D8D"/>
    <w:rsid w:val="00D01393"/>
    <w:rsid w:val="00D0247A"/>
    <w:rsid w:val="00D35F13"/>
    <w:rsid w:val="00D43712"/>
    <w:rsid w:val="00D6537C"/>
    <w:rsid w:val="00D72121"/>
    <w:rsid w:val="00D75598"/>
    <w:rsid w:val="00D76268"/>
    <w:rsid w:val="00DA4F5E"/>
    <w:rsid w:val="00DB260D"/>
    <w:rsid w:val="00DB433E"/>
    <w:rsid w:val="00DC4EDF"/>
    <w:rsid w:val="00DC6757"/>
    <w:rsid w:val="00DE5AA6"/>
    <w:rsid w:val="00E52EB4"/>
    <w:rsid w:val="00E66286"/>
    <w:rsid w:val="00E67123"/>
    <w:rsid w:val="00E7640C"/>
    <w:rsid w:val="00E8481B"/>
    <w:rsid w:val="00EE476D"/>
    <w:rsid w:val="00F04537"/>
    <w:rsid w:val="00F32C7D"/>
    <w:rsid w:val="00F3587C"/>
    <w:rsid w:val="00F428CF"/>
    <w:rsid w:val="00F804D5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C4D2"/>
  <w15:chartTrackingRefBased/>
  <w15:docId w15:val="{910340E4-F235-442A-96BA-8F303F93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65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D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5284"/>
    <w:pPr>
      <w:spacing w:after="0" w:line="240" w:lineRule="auto"/>
    </w:pPr>
  </w:style>
  <w:style w:type="table" w:styleId="TableGrid">
    <w:name w:val="Table Grid"/>
    <w:basedOn w:val="TableNormal"/>
    <w:uiPriority w:val="39"/>
    <w:rsid w:val="00BC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1E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2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0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5C"/>
  </w:style>
  <w:style w:type="paragraph" w:styleId="Footer">
    <w:name w:val="footer"/>
    <w:basedOn w:val="Normal"/>
    <w:link w:val="FooterChar"/>
    <w:uiPriority w:val="99"/>
    <w:unhideWhenUsed/>
    <w:rsid w:val="00750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5C"/>
  </w:style>
  <w:style w:type="character" w:customStyle="1" w:styleId="Heading1Char">
    <w:name w:val="Heading 1 Char"/>
    <w:basedOn w:val="DefaultParagraphFont"/>
    <w:link w:val="Heading1"/>
    <w:uiPriority w:val="9"/>
    <w:rsid w:val="00DA4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A4F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A4F5E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F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4F5E"/>
    <w:rPr>
      <w:rFonts w:eastAsiaTheme="minorEastAsia"/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qFormat/>
    <w:rsid w:val="00DA4F5E"/>
    <w:rPr>
      <w:b/>
      <w:bCs/>
      <w:smallCaps/>
      <w:color w:val="5B9BD5" w:themeColor="accent1"/>
      <w:spacing w:val="5"/>
    </w:rPr>
  </w:style>
  <w:style w:type="paragraph" w:customStyle="1" w:styleId="Style1">
    <w:name w:val="Style1"/>
    <w:basedOn w:val="Title"/>
    <w:link w:val="Style1Char"/>
    <w:qFormat/>
    <w:rsid w:val="00DA4F5E"/>
    <w:pPr>
      <w:shd w:val="clear" w:color="auto" w:fill="FFC000" w:themeFill="accent4"/>
    </w:pPr>
  </w:style>
  <w:style w:type="character" w:customStyle="1" w:styleId="Style1Char">
    <w:name w:val="Style1 Char"/>
    <w:basedOn w:val="TitleChar"/>
    <w:link w:val="Style1"/>
    <w:rsid w:val="00DA4F5E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C000" w:themeFill="accent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e/en/department-of-health/publications/infection-prevention-and-control-ip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iqa.ie/reports-and-publications/niac-immunisation-guideline/chapter-04-immunisation-and-health-inform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bfe5f4-4f05-45db-b766-76ff790d9d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93419167094489A6585B52C525A40" ma:contentTypeVersion="5" ma:contentTypeDescription="Create a new document." ma:contentTypeScope="" ma:versionID="fa740288375000d7c8a6d191f5c51d44">
  <xsd:schema xmlns:xsd="http://www.w3.org/2001/XMLSchema" xmlns:xs="http://www.w3.org/2001/XMLSchema" xmlns:p="http://schemas.microsoft.com/office/2006/metadata/properties" xmlns:ns3="f9bfe5f4-4f05-45db-b766-76ff790d9dd0" targetNamespace="http://schemas.microsoft.com/office/2006/metadata/properties" ma:root="true" ma:fieldsID="f5133673e50d8b98bf56e01bace437c6" ns3:_="">
    <xsd:import namespace="f9bfe5f4-4f05-45db-b766-76ff790d9d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e5f4-4f05-45db-b766-76ff790d9dd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2B40C-1862-4D32-A79B-442EC3F8B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2170E-250C-4A66-B46B-59C04138F899}">
  <ds:schemaRefs>
    <ds:schemaRef ds:uri="http://schemas.microsoft.com/office/2006/metadata/properties"/>
    <ds:schemaRef ds:uri="http://schemas.microsoft.com/office/infopath/2007/PartnerControls"/>
    <ds:schemaRef ds:uri="f9bfe5f4-4f05-45db-b766-76ff790d9dd0"/>
  </ds:schemaRefs>
</ds:datastoreItem>
</file>

<file path=customXml/itemProps3.xml><?xml version="1.0" encoding="utf-8"?>
<ds:datastoreItem xmlns:ds="http://schemas.openxmlformats.org/officeDocument/2006/customXml" ds:itemID="{BA4F21C4-913F-4F5C-9C03-8C8437591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8CE60-78AC-4745-BA97-5352E3B35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fe5f4-4f05-45db-b766-76ff790d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Slevin, Barbara</dc:creator>
  <cp:keywords/>
  <dc:description/>
  <cp:lastModifiedBy>Barbara Slevin</cp:lastModifiedBy>
  <cp:revision>2</cp:revision>
  <dcterms:created xsi:type="dcterms:W3CDTF">2025-09-26T09:11:00Z</dcterms:created>
  <dcterms:modified xsi:type="dcterms:W3CDTF">2025-09-26T09:11:00Z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0x010100B9493419167094489A6585B52C525A40</vt:lpwstr>
  </property>
</Properties>
</file>