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9066" w14:textId="747D66EB" w:rsidR="002E240F" w:rsidRPr="007B6AC0" w:rsidRDefault="00AD3AB0" w:rsidP="00165464">
      <w:pPr>
        <w:pStyle w:val="Heading1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Protective </w:t>
      </w:r>
      <w:r w:rsidR="00ED41C1">
        <w:rPr>
          <w:rFonts w:eastAsiaTheme="minorEastAsia"/>
          <w:lang w:val="en-US"/>
        </w:rPr>
        <w:t>isolation precautions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AC0" w:rsidRPr="006C4C84" w14:paraId="41320AA2" w14:textId="77777777" w:rsidTr="0072083C">
        <w:trPr>
          <w:trHeight w:val="2572"/>
        </w:trPr>
        <w:tc>
          <w:tcPr>
            <w:tcW w:w="9016" w:type="dxa"/>
          </w:tcPr>
          <w:p w14:paraId="14A692E1" w14:textId="016E823A" w:rsidR="00165464" w:rsidRDefault="007B6AC0" w:rsidP="00165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6C4C84">
              <w:rPr>
                <w:rFonts w:ascii="Arial" w:hAnsi="Arial" w:cs="Arial"/>
                <w:b/>
                <w:bCs/>
              </w:rPr>
              <w:t xml:space="preserve">Prompt: </w:t>
            </w:r>
            <w:r w:rsidR="00165464">
              <w:rPr>
                <w:rFonts w:ascii="Arial" w:hAnsi="Arial" w:cs="Arial"/>
                <w:b/>
                <w:bCs/>
              </w:rPr>
              <w:t>p</w:t>
            </w:r>
            <w:r w:rsidRPr="00165464">
              <w:rPr>
                <w:rFonts w:ascii="Arial" w:hAnsi="Arial" w:cs="Arial"/>
                <w:b/>
                <w:bCs/>
              </w:rPr>
              <w:t xml:space="preserve">oster colour is </w:t>
            </w:r>
            <w:r w:rsidR="000C4F9C" w:rsidRPr="00165464">
              <w:rPr>
                <w:rFonts w:ascii="Arial" w:hAnsi="Arial" w:cs="Arial"/>
                <w:b/>
                <w:bCs/>
              </w:rPr>
              <w:t>white</w:t>
            </w:r>
            <w:r w:rsidRPr="00165464">
              <w:rPr>
                <w:rFonts w:ascii="Arial" w:hAnsi="Arial" w:cs="Arial"/>
                <w:b/>
                <w:bCs/>
              </w:rPr>
              <w:t xml:space="preserve">: </w:t>
            </w:r>
            <w:r w:rsidR="00165464" w:rsidRPr="00165464">
              <w:rPr>
                <w:rFonts w:ascii="Arial" w:hAnsi="Arial" w:cs="Arial"/>
                <w:b/>
                <w:bCs/>
              </w:rPr>
              <w:t xml:space="preserve">use this explainer with the white protective isolation precaution poster. </w:t>
            </w:r>
          </w:p>
          <w:p w14:paraId="2F70EF12" w14:textId="77777777" w:rsidR="00092012" w:rsidRPr="00165464" w:rsidRDefault="00092012" w:rsidP="00165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0B57C520" w14:textId="248BD658" w:rsidR="007B6AC0" w:rsidRPr="006C4C84" w:rsidRDefault="007B6AC0" w:rsidP="00165464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8"/>
                <w:szCs w:val="28"/>
                <w:u w:val="single"/>
                <w:lang w:val="en-US"/>
              </w:rPr>
            </w:pPr>
            <w:r w:rsidRPr="00165464">
              <w:rPr>
                <w:rFonts w:ascii="Arial" w:hAnsi="Arial" w:cs="Arial"/>
                <w:b/>
                <w:bCs/>
              </w:rPr>
              <w:t>Patient placement</w:t>
            </w:r>
            <w:r w:rsidR="00165464">
              <w:rPr>
                <w:rFonts w:ascii="Arial" w:hAnsi="Arial" w:cs="Arial"/>
                <w:b/>
                <w:bCs/>
              </w:rPr>
              <w:t xml:space="preserve">: </w:t>
            </w:r>
            <w:r w:rsidRPr="00165464">
              <w:rPr>
                <w:rFonts w:ascii="Arial" w:hAnsi="Arial" w:cs="Arial"/>
              </w:rPr>
              <w:t xml:space="preserve">whenever possible prioritise patients with identified </w:t>
            </w:r>
            <w:r w:rsidR="000C4F9C" w:rsidRPr="00165464">
              <w:rPr>
                <w:rFonts w:ascii="Arial" w:hAnsi="Arial" w:cs="Arial"/>
              </w:rPr>
              <w:t xml:space="preserve">requirements for protective isolation in </w:t>
            </w:r>
            <w:r w:rsidRPr="00165464">
              <w:rPr>
                <w:rFonts w:ascii="Arial" w:hAnsi="Arial" w:cs="Arial"/>
              </w:rPr>
              <w:t>single rooms</w:t>
            </w:r>
            <w:r w:rsidR="000C4F9C" w:rsidRPr="00165464">
              <w:rPr>
                <w:rFonts w:ascii="Arial" w:hAnsi="Arial" w:cs="Arial"/>
              </w:rPr>
              <w:t xml:space="preserve"> </w:t>
            </w:r>
            <w:r w:rsidR="00375F2B" w:rsidRPr="00165464">
              <w:rPr>
                <w:rFonts w:ascii="Arial" w:hAnsi="Arial" w:cs="Arial"/>
              </w:rPr>
              <w:t xml:space="preserve">(preferably </w:t>
            </w:r>
            <w:r w:rsidR="00BC17EE" w:rsidRPr="00165464">
              <w:rPr>
                <w:rFonts w:ascii="Arial" w:hAnsi="Arial" w:cs="Arial"/>
              </w:rPr>
              <w:t>with dedicated</w:t>
            </w:r>
            <w:r w:rsidR="001E5E1F" w:rsidRPr="00165464">
              <w:rPr>
                <w:rFonts w:ascii="Arial" w:hAnsi="Arial" w:cs="Arial"/>
              </w:rPr>
              <w:t xml:space="preserve"> toilet/</w:t>
            </w:r>
            <w:r w:rsidR="00BC17EE" w:rsidRPr="00165464">
              <w:rPr>
                <w:rFonts w:ascii="Arial" w:hAnsi="Arial" w:cs="Arial"/>
              </w:rPr>
              <w:t xml:space="preserve"> </w:t>
            </w:r>
            <w:r w:rsidR="001E5E1F" w:rsidRPr="00165464">
              <w:rPr>
                <w:rFonts w:ascii="Arial" w:hAnsi="Arial" w:cs="Arial"/>
              </w:rPr>
              <w:t>ensuite facilities and ensure that the doors always remain closed except when necessary for entry/</w:t>
            </w:r>
            <w:r w:rsidR="00D8011E">
              <w:rPr>
                <w:rFonts w:ascii="Arial" w:hAnsi="Arial" w:cs="Arial"/>
              </w:rPr>
              <w:t xml:space="preserve"> </w:t>
            </w:r>
            <w:r w:rsidR="001E5E1F" w:rsidRPr="00165464">
              <w:rPr>
                <w:rFonts w:ascii="Arial" w:hAnsi="Arial" w:cs="Arial"/>
              </w:rPr>
              <w:t>exit of patient</w:t>
            </w:r>
            <w:r w:rsidR="00B036A9" w:rsidRPr="00165464">
              <w:rPr>
                <w:rFonts w:ascii="Arial" w:hAnsi="Arial" w:cs="Arial"/>
              </w:rPr>
              <w:t xml:space="preserve"> </w:t>
            </w:r>
            <w:r w:rsidR="001E5E1F" w:rsidRPr="00165464">
              <w:rPr>
                <w:rFonts w:ascii="Arial" w:hAnsi="Arial" w:cs="Arial"/>
              </w:rPr>
              <w:t>/</w:t>
            </w:r>
            <w:r w:rsidR="00B036A9" w:rsidRPr="00165464">
              <w:rPr>
                <w:rFonts w:ascii="Arial" w:hAnsi="Arial" w:cs="Arial"/>
              </w:rPr>
              <w:t xml:space="preserve"> </w:t>
            </w:r>
            <w:r w:rsidR="001E5E1F" w:rsidRPr="00165464">
              <w:rPr>
                <w:rFonts w:ascii="Arial" w:hAnsi="Arial" w:cs="Arial"/>
              </w:rPr>
              <w:t xml:space="preserve">staff.  </w:t>
            </w:r>
            <w:r w:rsidR="00165464" w:rsidRPr="00165464">
              <w:rPr>
                <w:rFonts w:ascii="Arial" w:hAnsi="Arial" w:cs="Arial"/>
              </w:rPr>
              <w:t>Consider safety risks (risk assess patient placement in a single room with door closed</w:t>
            </w:r>
            <w:r w:rsidR="0072083C">
              <w:rPr>
                <w:rFonts w:ascii="Arial" w:hAnsi="Arial" w:cs="Arial"/>
              </w:rPr>
              <w:t xml:space="preserve">, </w:t>
            </w:r>
            <w:r w:rsidR="0072083C" w:rsidRPr="0072083C">
              <w:rPr>
                <w:rFonts w:ascii="Arial" w:hAnsi="Arial" w:cs="Arial"/>
              </w:rPr>
              <w:t>for example by the person in charge (PIC)</w:t>
            </w:r>
            <w:r w:rsidR="0072083C">
              <w:rPr>
                <w:rFonts w:ascii="Arial" w:hAnsi="Arial" w:cs="Arial"/>
              </w:rPr>
              <w:t>.</w:t>
            </w:r>
          </w:p>
        </w:tc>
      </w:tr>
      <w:tr w:rsidR="001908E9" w:rsidRPr="006C4C84" w14:paraId="1F9A9BEC" w14:textId="77777777" w:rsidTr="00AD3AB0">
        <w:tc>
          <w:tcPr>
            <w:tcW w:w="9016" w:type="dxa"/>
            <w:shd w:val="clear" w:color="auto" w:fill="FFFFFF" w:themeFill="background1"/>
          </w:tcPr>
          <w:p w14:paraId="60C278A1" w14:textId="49B5E799" w:rsidR="00ED41C1" w:rsidRPr="00165464" w:rsidRDefault="001908E9" w:rsidP="0072083C">
            <w:pPr>
              <w:pStyle w:val="Heading1"/>
              <w:rPr>
                <w:rFonts w:eastAsiaTheme="minorEastAsia"/>
                <w:lang w:val="en-US"/>
              </w:rPr>
            </w:pPr>
            <w:r w:rsidRPr="00165464">
              <w:t>Step</w:t>
            </w:r>
            <w:r w:rsidRPr="006C4C84">
              <w:rPr>
                <w:rFonts w:eastAsiaTheme="minorEastAsia"/>
                <w:lang w:val="en-US"/>
              </w:rPr>
              <w:t xml:space="preserve"> 1</w:t>
            </w:r>
          </w:p>
        </w:tc>
      </w:tr>
      <w:tr w:rsidR="006C32EF" w:rsidRPr="006C4C84" w14:paraId="19352802" w14:textId="77777777">
        <w:tc>
          <w:tcPr>
            <w:tcW w:w="9016" w:type="dxa"/>
          </w:tcPr>
          <w:p w14:paraId="0126E83C" w14:textId="20B049CD" w:rsidR="001E5E1F" w:rsidRDefault="001E5E1F" w:rsidP="00ED41C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Before each patient interaction, a health</w:t>
            </w:r>
            <w:r w:rsidR="0016546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and </w:t>
            </w: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care worker must </w:t>
            </w:r>
            <w:r w:rsidRPr="00380D4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assess the patient/</w:t>
            </w:r>
            <w:r w:rsidR="0016546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Pr="00380D4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situation and complete a point of care risk assessment (PCRA)*</w:t>
            </w:r>
          </w:p>
          <w:p w14:paraId="78C8EF8B" w14:textId="77777777" w:rsidR="001E5E1F" w:rsidRDefault="001E5E1F" w:rsidP="00ED41C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</w:p>
          <w:p w14:paraId="4E7A364B" w14:textId="5B85499E" w:rsidR="006C32EF" w:rsidRDefault="006C32EF" w:rsidP="00ED41C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6C4C84">
              <w:rPr>
                <w:rFonts w:ascii="Arial" w:hAnsi="Arial" w:cs="Arial"/>
              </w:rPr>
              <w:t xml:space="preserve">A </w:t>
            </w:r>
            <w:r w:rsidR="001E5E1F">
              <w:rPr>
                <w:rFonts w:ascii="Arial" w:hAnsi="Arial" w:cs="Arial"/>
              </w:rPr>
              <w:t>p</w:t>
            </w:r>
            <w:r w:rsidRPr="006C4C84">
              <w:rPr>
                <w:rFonts w:ascii="Arial" w:hAnsi="Arial" w:cs="Arial"/>
              </w:rPr>
              <w:t>oint of care risk assessment (PCRA) is an integral part of standard practice which should be performed by every health</w:t>
            </w:r>
            <w:r w:rsidR="00165464">
              <w:rPr>
                <w:rFonts w:ascii="Arial" w:hAnsi="Arial" w:cs="Arial"/>
              </w:rPr>
              <w:t xml:space="preserve"> and </w:t>
            </w:r>
            <w:r w:rsidRPr="006C4C84">
              <w:rPr>
                <w:rFonts w:ascii="Arial" w:hAnsi="Arial" w:cs="Arial"/>
              </w:rPr>
              <w:t xml:space="preserve">care worker </w:t>
            </w:r>
            <w:r w:rsidRPr="006C4C84">
              <w:rPr>
                <w:rFonts w:ascii="Arial" w:hAnsi="Arial" w:cs="Arial"/>
                <w:b/>
              </w:rPr>
              <w:t>BEFORE</w:t>
            </w:r>
            <w:r w:rsidRPr="006C4C84">
              <w:rPr>
                <w:rFonts w:ascii="Arial" w:hAnsi="Arial" w:cs="Arial"/>
              </w:rPr>
              <w:t xml:space="preserve"> every patient interaction to allow them to accurately assess the risk </w:t>
            </w: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of exposing themselves and/</w:t>
            </w:r>
            <w:r w:rsidR="001E5E1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or others to </w:t>
            </w:r>
            <w:r w:rsidR="001E5E1F" w:rsidRPr="00AD295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infectious diseases/</w:t>
            </w:r>
            <w:r w:rsidR="001E5E1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1E5E1F" w:rsidRPr="00AD295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agents/</w:t>
            </w:r>
            <w:r w:rsidR="001E5E1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1E5E1F" w:rsidRPr="00AD295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transmissible microorganisms. </w:t>
            </w:r>
          </w:p>
          <w:p w14:paraId="050A123F" w14:textId="77777777" w:rsidR="00165464" w:rsidRPr="006C4C84" w:rsidRDefault="00165464" w:rsidP="00ED41C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4181C917" w14:textId="34F33E45" w:rsidR="006C32EF" w:rsidRDefault="00165464" w:rsidP="00ED41C1">
            <w:pPr>
              <w:pStyle w:val="CommentText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This</w:t>
            </w:r>
            <w:r w:rsidR="006C32EF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PCRA supports the selection of appropriate actions and 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="006C32EF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ersonal 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="006C32EF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rotective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e</w:t>
            </w:r>
            <w:r w:rsidR="006C32EF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quipment (PPE) in addition to any 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</w:t>
            </w:r>
            <w:r w:rsidR="006C32EF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nfection 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="006C32EF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revention and 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</w:t>
            </w:r>
            <w:r w:rsidR="006C32EF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ontrol (IPC) recommendations already in place</w:t>
            </w:r>
            <w:r w:rsidR="0004180E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. </w:t>
            </w:r>
          </w:p>
          <w:p w14:paraId="669AA8B7" w14:textId="0ADAF558" w:rsidR="00ED41C1" w:rsidRDefault="001E5E1F" w:rsidP="00ED41C1">
            <w:pPr>
              <w:pStyle w:val="CommentText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Consider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occupational aspects, (including health</w:t>
            </w:r>
            <w:r w:rsid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and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care worker vaccination) to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minimise</w:t>
            </w:r>
            <w:proofErr w:type="spellEnd"/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any risk </w:t>
            </w:r>
            <w:r w:rsidR="00ED41C1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to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patients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.</w:t>
            </w:r>
          </w:p>
          <w:p w14:paraId="54F6BF1D" w14:textId="77777777" w:rsidR="0072083C" w:rsidRDefault="001E5E1F" w:rsidP="00ED41C1">
            <w:pPr>
              <w:pStyle w:val="CommentText"/>
              <w:jc w:val="both"/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Refer to the following link for details on health</w:t>
            </w:r>
            <w:r w:rsid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and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care worker vaccination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: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 </w:t>
            </w:r>
            <w:hyperlink r:id="rId10" w:history="1">
              <w:r w:rsidR="0072083C" w:rsidRPr="00E6628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Chapter 04 - Immunisation and Health Information for Health-Care Workers and Others in At-Risk Occupations | HIQA</w:t>
              </w:r>
            </w:hyperlink>
          </w:p>
          <w:p w14:paraId="69DBA9EA" w14:textId="77777777" w:rsidR="001E5E1F" w:rsidRPr="006C4C84" w:rsidRDefault="001E5E1F" w:rsidP="00ED41C1">
            <w:pPr>
              <w:pStyle w:val="CommentText"/>
              <w:jc w:val="both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5E4BB394" w14:textId="714C47F0" w:rsidR="006C32EF" w:rsidRPr="006C4C84" w:rsidRDefault="006C32EF" w:rsidP="00ED41C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This is a 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supporting 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tool, and risk assessments are likely to vary from person to person.</w:t>
            </w:r>
          </w:p>
        </w:tc>
      </w:tr>
      <w:tr w:rsidR="006C32EF" w:rsidRPr="006C4C84" w14:paraId="25E3EDC1" w14:textId="77777777">
        <w:tc>
          <w:tcPr>
            <w:tcW w:w="9016" w:type="dxa"/>
          </w:tcPr>
          <w:p w14:paraId="6FF27CEA" w14:textId="319BD1E8" w:rsidR="0072083C" w:rsidRPr="0060626E" w:rsidRDefault="006C32EF" w:rsidP="0072083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PATIENT</w:t>
            </w:r>
          </w:p>
          <w:p w14:paraId="767B53A4" w14:textId="77777777" w:rsidR="0060626E" w:rsidRPr="00E66286" w:rsidRDefault="0060626E" w:rsidP="0060626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Consider:</w:t>
            </w:r>
          </w:p>
          <w:p w14:paraId="1CD0CF5C" w14:textId="63C5E901" w:rsidR="001B7EAC" w:rsidRDefault="001B7EAC" w:rsidP="00ED41C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C4C84">
              <w:rPr>
                <w:rFonts w:ascii="Arial" w:hAnsi="Arial" w:cs="Arial"/>
              </w:rPr>
              <w:t>The aim of protective isolation is to prevent the transfer of infection caused by transmissible micro-organisms to vulnerable patients who are immunocompromised because of their illness or treatment</w:t>
            </w:r>
            <w:r w:rsidR="002A4234">
              <w:rPr>
                <w:rFonts w:ascii="Arial" w:hAnsi="Arial" w:cs="Arial"/>
              </w:rPr>
              <w:t>.</w:t>
            </w:r>
            <w:r w:rsidRPr="006C4C84">
              <w:rPr>
                <w:rFonts w:ascii="Arial" w:hAnsi="Arial" w:cs="Arial"/>
              </w:rPr>
              <w:t xml:space="preserve">  </w:t>
            </w:r>
          </w:p>
          <w:p w14:paraId="093AD9FA" w14:textId="6D010A0E" w:rsidR="00092012" w:rsidRPr="00092012" w:rsidRDefault="00092012" w:rsidP="0009201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Consider safety risks (risk assess patient placement in a single room)</w:t>
            </w:r>
          </w:p>
          <w:p w14:paraId="7AC10802" w14:textId="2FA6FBBE" w:rsidR="00092012" w:rsidRPr="00826260" w:rsidRDefault="00092012" w:rsidP="0009201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the patient with hand hygiene, as appropriate.</w:t>
            </w:r>
          </w:p>
          <w:p w14:paraId="045E049F" w14:textId="2761DBFA" w:rsidR="006C32EF" w:rsidRPr="006C4C84" w:rsidRDefault="006C32EF" w:rsidP="00ED41C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6C32EF" w:rsidRPr="006C4C84" w14:paraId="00516474" w14:textId="77777777">
        <w:tc>
          <w:tcPr>
            <w:tcW w:w="9016" w:type="dxa"/>
          </w:tcPr>
          <w:p w14:paraId="3305AF11" w14:textId="4805A19C" w:rsidR="006C32EF" w:rsidRPr="00092012" w:rsidRDefault="00092012" w:rsidP="00ED41C1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TASKS</w:t>
            </w:r>
          </w:p>
          <w:p w14:paraId="14663157" w14:textId="77777777" w:rsidR="00092012" w:rsidRPr="00826260" w:rsidRDefault="00092012" w:rsidP="00092012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Consider:</w:t>
            </w:r>
          </w:p>
          <w:p w14:paraId="7C19DEC9" w14:textId="488CBC9D" w:rsidR="006C32EF" w:rsidRPr="006C4C84" w:rsidRDefault="006C32EF" w:rsidP="00ED41C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What type of task am I about to perform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  I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s this a non-clinical interaction?</w:t>
            </w:r>
          </w:p>
          <w:p w14:paraId="2516845B" w14:textId="77777777" w:rsidR="002A4234" w:rsidRPr="002A4234" w:rsidRDefault="006C32EF" w:rsidP="00ED41C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Is </w:t>
            </w:r>
            <w:proofErr w:type="gramStart"/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this</w:t>
            </w:r>
            <w:r w:rsidR="0009201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</w:t>
            </w:r>
            <w:proofErr w:type="gramEnd"/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clinical intervention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?  </w:t>
            </w:r>
          </w:p>
          <w:p w14:paraId="0C6973FD" w14:textId="0B4D071C" w:rsidR="00130814" w:rsidRPr="006C4C84" w:rsidRDefault="001E5E1F" w:rsidP="00ED41C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lastRenderedPageBreak/>
              <w:t>A</w:t>
            </w:r>
            <w:r w:rsidR="006C32EF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m I about to </w:t>
            </w:r>
            <w:r w:rsidR="00DC70F4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perform a</w:t>
            </w:r>
            <w:r w:rsidR="006C32EF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task for example providing personal care, bathing, assisting with toileting, carrying out a procedure, such as wound care, catheter care</w:t>
            </w:r>
            <w:r w:rsidR="00A92101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(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h</w:t>
            </w:r>
            <w:r w:rsidR="00A92101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igh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contact </w:t>
            </w:r>
            <w:r w:rsidR="00A92101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/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l</w:t>
            </w:r>
            <w:r w:rsidR="00A92101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ow contact)</w:t>
            </w:r>
          </w:p>
          <w:p w14:paraId="0FE9A26E" w14:textId="77777777" w:rsidR="00ED41C1" w:rsidRPr="00092012" w:rsidRDefault="006C32EF" w:rsidP="0009201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Will the task increase the likelihood that my skin/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clothing will become contaminated?</w:t>
            </w:r>
            <w:r w:rsidR="00A92101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(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h</w:t>
            </w:r>
            <w:r w:rsidR="00A92101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igh level/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l</w:t>
            </w:r>
            <w:r w:rsidR="00A92101"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ow contact)</w:t>
            </w:r>
            <w:r w:rsidR="00BC17EE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</w:t>
            </w:r>
          </w:p>
          <w:p w14:paraId="3424BC1D" w14:textId="2B911715" w:rsidR="00092012" w:rsidRPr="00092012" w:rsidRDefault="00B56B70" w:rsidP="00B56B70">
            <w:pPr>
              <w:pStyle w:val="NormalWeb"/>
              <w:tabs>
                <w:tab w:val="left" w:pos="8025"/>
              </w:tabs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6C32EF" w:rsidRPr="006C4C84" w14:paraId="5E928814" w14:textId="77777777">
        <w:tc>
          <w:tcPr>
            <w:tcW w:w="9016" w:type="dxa"/>
          </w:tcPr>
          <w:p w14:paraId="77A23FF7" w14:textId="77777777" w:rsidR="006C32EF" w:rsidRDefault="006C32EF" w:rsidP="00ED41C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lastRenderedPageBreak/>
              <w:t>ENVIRONMENT</w:t>
            </w:r>
          </w:p>
          <w:p w14:paraId="53B90839" w14:textId="77777777" w:rsidR="00092012" w:rsidRPr="00826260" w:rsidRDefault="00092012" w:rsidP="00092012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Consider:</w:t>
            </w:r>
          </w:p>
          <w:p w14:paraId="257CCF33" w14:textId="4977314E" w:rsidR="001E5E1F" w:rsidRPr="00092012" w:rsidRDefault="001E5E1F" w:rsidP="00092012">
            <w:pPr>
              <w:pStyle w:val="ListParagraph"/>
              <w:numPr>
                <w:ilvl w:val="0"/>
                <w:numId w:val="7"/>
              </w:numP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Is the person located in a single room</w:t>
            </w:r>
            <w:r w:rsidR="00092012" w:rsidRP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with </w:t>
            </w:r>
            <w:r w:rsidRP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dedicated toilet/</w:t>
            </w:r>
            <w:r w:rsidR="00D8011E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</w:t>
            </w:r>
            <w:r w:rsidRP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ensuite facilities?  Ensure that the </w:t>
            </w:r>
            <w:r w:rsidR="00092012" w:rsidRP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room </w:t>
            </w:r>
            <w:r w:rsidRP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door </w:t>
            </w:r>
            <w:r w:rsidR="002A4234" w:rsidRP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always remains closed</w:t>
            </w:r>
            <w:r w:rsidR="00D8011E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.</w:t>
            </w:r>
            <w:r w:rsidR="00092012" w:rsidRPr="0009201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(risk assess patient placement in a single room)</w:t>
            </w:r>
            <w:r w:rsidR="00D8011E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.</w:t>
            </w:r>
          </w:p>
          <w:p w14:paraId="4384B1DB" w14:textId="3B57561E" w:rsidR="006C32EF" w:rsidRPr="001E5E1F" w:rsidRDefault="006C32EF" w:rsidP="00ED41C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Think about </w:t>
            </w:r>
            <w:r w:rsidR="00DC70F4" w:rsidRP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equipment</w:t>
            </w:r>
            <w:r w:rsidR="002A423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.  I</w:t>
            </w:r>
            <w:r w:rsidRP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s there dedicated equipment for the </w:t>
            </w:r>
            <w:r w:rsidR="002A4234" w:rsidRP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patient</w:t>
            </w:r>
            <w:r w:rsidR="002A423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(</w:t>
            </w:r>
            <w:r w:rsidRP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blood pressure monitor, cuff, thermometer, hoist sling</w:t>
            </w:r>
            <w:r w:rsidR="002A423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)?</w:t>
            </w:r>
          </w:p>
          <w:p w14:paraId="54A7FF5D" w14:textId="591D3CD8" w:rsidR="006C32EF" w:rsidRPr="006C4C84" w:rsidRDefault="006C32EF" w:rsidP="00ED41C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Is the equipment </w:t>
            </w:r>
            <w:r w:rsidR="001E5E1F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shared,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for example commode, hoist, blood glucose monitor, blood pressure </w:t>
            </w:r>
            <w:r w:rsidR="00DC70F4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monitor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?  I</w:t>
            </w:r>
            <w:r w:rsidR="00DC70F4"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f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yes, clean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and disinfect reusable equipment between each use</w:t>
            </w:r>
            <w:r w:rsidR="002A423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.</w:t>
            </w:r>
          </w:p>
          <w:p w14:paraId="4D87674B" w14:textId="6E3E4E2C" w:rsidR="00ED41C1" w:rsidRPr="006C4C84" w:rsidRDefault="00ED41C1" w:rsidP="00092012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</w:pPr>
          </w:p>
        </w:tc>
      </w:tr>
      <w:tr w:rsidR="001908E9" w:rsidRPr="006C4C84" w14:paraId="4EEFC94D" w14:textId="77777777" w:rsidTr="00AD3AB0">
        <w:tc>
          <w:tcPr>
            <w:tcW w:w="9016" w:type="dxa"/>
            <w:shd w:val="clear" w:color="auto" w:fill="FFFFFF" w:themeFill="background1"/>
          </w:tcPr>
          <w:p w14:paraId="4A9B9D56" w14:textId="6282BC9C" w:rsidR="00ED41C1" w:rsidRPr="006C4C84" w:rsidRDefault="001908E9" w:rsidP="0072083C">
            <w:pPr>
              <w:pStyle w:val="Heading1"/>
              <w:rPr>
                <w:rFonts w:eastAsiaTheme="minorEastAsia"/>
                <w:lang w:val="en-US"/>
              </w:rPr>
            </w:pPr>
            <w:r w:rsidRPr="006C4C84">
              <w:rPr>
                <w:rFonts w:eastAsiaTheme="minorEastAsia"/>
                <w:lang w:val="en-US"/>
              </w:rPr>
              <w:t>Step 2</w:t>
            </w:r>
          </w:p>
        </w:tc>
      </w:tr>
      <w:tr w:rsidR="006C32EF" w:rsidRPr="006C4C84" w14:paraId="617F9CBE" w14:textId="77777777">
        <w:tc>
          <w:tcPr>
            <w:tcW w:w="9016" w:type="dxa"/>
          </w:tcPr>
          <w:p w14:paraId="48570A31" w14:textId="78FD4170" w:rsidR="006C32EF" w:rsidRPr="006C4C84" w:rsidRDefault="006C32EF" w:rsidP="00ED41C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Choose appropriate PPE and implement the required actions </w:t>
            </w:r>
            <w:r w:rsidR="00D8011E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in line with </w:t>
            </w: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standard precautions including the following: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</w:p>
          <w:p w14:paraId="25627007" w14:textId="119281BB" w:rsidR="00092012" w:rsidRPr="008B32A3" w:rsidRDefault="001E5E1F" w:rsidP="00092012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B7789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Clean your hands </w:t>
            </w:r>
            <w:r w:rsidR="00D8011E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in line with 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the </w:t>
            </w:r>
            <w:r w:rsidRPr="00B7789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WHO 5 moments</w:t>
            </w:r>
            <w:r w:rsidRPr="00B7789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. Ensure access to hand hygiene product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s/ facilities</w:t>
            </w:r>
            <w:r w:rsidRPr="00B7789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BC17EE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and </w:t>
            </w:r>
            <w:r w:rsidRPr="00B7789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select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as appropriate</w:t>
            </w:r>
            <w:r w:rsidR="00BC17EE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, </w:t>
            </w:r>
            <w:r w:rsidR="00092012" w:rsidRPr="008B32A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(</w:t>
            </w:r>
            <w:proofErr w:type="gramStart"/>
            <w:r w:rsidR="00092012" w:rsidRPr="008B32A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alcohol based</w:t>
            </w:r>
            <w:proofErr w:type="gramEnd"/>
            <w:r w:rsidR="00092012" w:rsidRPr="008B32A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hand rub / handwashing)    </w:t>
            </w:r>
          </w:p>
          <w:p w14:paraId="0763BD7A" w14:textId="4C708D8A" w:rsidR="006C32EF" w:rsidRPr="006C4C84" w:rsidRDefault="006C32EF" w:rsidP="00ED4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Gloves: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7924AF" w:rsidRPr="007924A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Risk assess glove requirement, consider in relation to tasks (such as contact with chemicals or if there is a risk of blood/body fluid exposure** (for example: urine, vomitus, </w:t>
            </w:r>
            <w:proofErr w:type="spellStart"/>
            <w:r w:rsidR="007924AF" w:rsidRPr="007924A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faecal</w:t>
            </w:r>
            <w:proofErr w:type="spellEnd"/>
            <w:r w:rsidR="007924AF" w:rsidRPr="007924A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matter, respiratory secretions etc.)</w:t>
            </w:r>
          </w:p>
          <w:p w14:paraId="1868ADCA" w14:textId="09E04964" w:rsidR="006C32EF" w:rsidRPr="006C4C84" w:rsidRDefault="006C32EF" w:rsidP="00ED4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Apron: </w:t>
            </w:r>
            <w:r w:rsidR="00D8011E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L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ow level contact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/ interaction with the patient</w:t>
            </w:r>
          </w:p>
          <w:p w14:paraId="02DFE844" w14:textId="3FC9A470" w:rsidR="006C32EF" w:rsidRPr="006C4C84" w:rsidRDefault="006C32EF" w:rsidP="00ED4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Gown: </w:t>
            </w:r>
            <w:r w:rsidR="00D8011E">
              <w:rPr>
                <w:rFonts w:ascii="Arial" w:eastAsiaTheme="minorEastAsia" w:hAnsi="Arial" w:cs="Arial"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H</w:t>
            </w:r>
            <w:r w:rsidRPr="00D8011E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ig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h level contact</w:t>
            </w:r>
            <w:r w:rsidR="001E5E1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/ interaction with the patient </w:t>
            </w:r>
          </w:p>
          <w:p w14:paraId="033BAECC" w14:textId="35165D43" w:rsidR="001B7EAC" w:rsidRPr="006C4C84" w:rsidRDefault="001B7EAC" w:rsidP="00ED4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Masks:</w:t>
            </w:r>
            <w:r w:rsidRPr="006C4C84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Risk assess requirement (consider patient’s status)</w:t>
            </w:r>
          </w:p>
          <w:p w14:paraId="16CDF5A0" w14:textId="77777777" w:rsidR="00ED41C1" w:rsidRDefault="006C32EF" w:rsidP="00C52EA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Disposal of PPE</w:t>
            </w:r>
            <w:r w:rsidRPr="006C4C84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: Risk assess disposal in healthcare risk waste</w:t>
            </w:r>
            <w:r w:rsidR="00BC17EE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r w:rsidRPr="006C4C84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/</w:t>
            </w:r>
            <w:r w:rsidR="00BC17EE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r w:rsidRPr="006C4C84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non risk waste streams (inside the patient</w:t>
            </w:r>
            <w:r w:rsidR="00A92101" w:rsidRPr="006C4C84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’</w:t>
            </w:r>
            <w:r w:rsidRPr="006C4C84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 room)</w:t>
            </w:r>
            <w:r w:rsidR="00BC17EE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.</w:t>
            </w:r>
          </w:p>
          <w:p w14:paraId="2E4D2B37" w14:textId="412D0C10" w:rsidR="00C52EA6" w:rsidRPr="00C52EA6" w:rsidRDefault="00C52EA6" w:rsidP="00C52EA6">
            <w:pPr>
              <w:pStyle w:val="ListParagraph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C52EA6" w:rsidRPr="006C4C84" w14:paraId="0BB6AEA1" w14:textId="77777777">
        <w:tc>
          <w:tcPr>
            <w:tcW w:w="9016" w:type="dxa"/>
          </w:tcPr>
          <w:p w14:paraId="61197281" w14:textId="77777777" w:rsidR="00C52EA6" w:rsidRPr="00C52EA6" w:rsidRDefault="00C52EA6" w:rsidP="00C52EA6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NOTE: </w:t>
            </w:r>
            <w:r w:rsidRPr="00C52EA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Reassessment of PPE requirements should occur as the clinical scenario develops to reflect changes in transmission risk.</w:t>
            </w:r>
          </w:p>
          <w:p w14:paraId="284AB0D5" w14:textId="77777777" w:rsidR="00C52EA6" w:rsidRPr="00C52EA6" w:rsidRDefault="00C52EA6" w:rsidP="00C52EA6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</w:p>
          <w:p w14:paraId="546E996B" w14:textId="77777777" w:rsidR="00C52EA6" w:rsidRPr="00C52EA6" w:rsidRDefault="00C52EA6" w:rsidP="00C52EA6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C52EA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Visitors do not routinely need to wear PPE.  They should be encouraged to clean their hands before and after visiting the patient. </w:t>
            </w:r>
          </w:p>
          <w:p w14:paraId="320086FF" w14:textId="77777777" w:rsidR="00C52EA6" w:rsidRPr="00C52EA6" w:rsidRDefault="00C52EA6" w:rsidP="00C52EA6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C52EA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Advise and support visitors, as appropriate.</w:t>
            </w:r>
          </w:p>
          <w:p w14:paraId="5947B868" w14:textId="77777777" w:rsidR="00C52EA6" w:rsidRPr="00C52EA6" w:rsidRDefault="00C52EA6" w:rsidP="00C52EA6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</w:pPr>
            <w:r w:rsidRPr="00C52EA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Visitors should not visit if they have any acute onset of respiratory or GI symptoms.</w:t>
            </w:r>
          </w:p>
          <w:p w14:paraId="1EFA846B" w14:textId="77777777" w:rsidR="00C52EA6" w:rsidRDefault="00C52EA6" w:rsidP="00ED41C1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</w:p>
        </w:tc>
      </w:tr>
      <w:tr w:rsidR="006C32EF" w:rsidRPr="006C4C84" w14:paraId="0FD8D738" w14:textId="77777777">
        <w:tc>
          <w:tcPr>
            <w:tcW w:w="9016" w:type="dxa"/>
          </w:tcPr>
          <w:p w14:paraId="25717F49" w14:textId="77777777" w:rsidR="00ED41C1" w:rsidRDefault="00ED41C1" w:rsidP="00ED41C1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</w:p>
          <w:p w14:paraId="466D7C79" w14:textId="72A0FF5D" w:rsidR="006C32EF" w:rsidRPr="006C4C84" w:rsidRDefault="006C32EF" w:rsidP="00ED41C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</w:pPr>
            <w:r w:rsidRPr="006C4C84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For further information, refer to</w:t>
            </w: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.</w:t>
            </w:r>
            <w:r w:rsidRPr="006C4C84">
              <w:rPr>
                <w:rFonts w:ascii="Arial" w:hAnsi="Arial" w:cs="Arial"/>
              </w:rPr>
              <w:t xml:space="preserve"> </w:t>
            </w: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Department of Health (2023). NC</w:t>
            </w:r>
            <w:r w:rsidR="008D26C5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 xml:space="preserve">G, </w:t>
            </w: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National Clinical Guideline No. 30 Infection Prevention and Control.</w:t>
            </w:r>
          </w:p>
          <w:p w14:paraId="714CF9C8" w14:textId="28292937" w:rsidR="006C32EF" w:rsidRDefault="006C32EF" w:rsidP="00ED41C1">
            <w:pPr>
              <w:jc w:val="both"/>
              <w:rPr>
                <w:rFonts w:ascii="Arial" w:eastAsiaTheme="minorEastAsia" w:hAnsi="Arial" w:cs="Arial"/>
                <w:kern w:val="24"/>
                <w:sz w:val="24"/>
                <w:szCs w:val="24"/>
                <w:lang w:eastAsia="en-IE"/>
              </w:rPr>
            </w:pPr>
            <w:r w:rsidRPr="006C4C8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 xml:space="preserve">Available at: </w:t>
            </w:r>
            <w:hyperlink r:id="rId11" w:history="1">
              <w:r w:rsidR="0072083C" w:rsidRPr="0072083C">
                <w:rPr>
                  <w:rStyle w:val="Hyperlink"/>
                  <w:rFonts w:ascii="Arial" w:eastAsiaTheme="minorEastAsia" w:hAnsi="Arial" w:cs="Arial"/>
                  <w:kern w:val="24"/>
                  <w:sz w:val="24"/>
                  <w:szCs w:val="24"/>
                  <w:lang w:eastAsia="en-IE"/>
                </w:rPr>
                <w:t>https://www.gov.ie/en/department-of-health/publications/infection-prevention-and-control-ipc/</w:t>
              </w:r>
            </w:hyperlink>
          </w:p>
          <w:p w14:paraId="629C8410" w14:textId="77777777" w:rsidR="002A4234" w:rsidRPr="006C4C84" w:rsidRDefault="002A4234" w:rsidP="00ED41C1">
            <w:pPr>
              <w:jc w:val="both"/>
              <w:rPr>
                <w:rFonts w:ascii="Arial" w:hAnsi="Arial" w:cs="Arial"/>
              </w:rPr>
            </w:pPr>
          </w:p>
          <w:p w14:paraId="723B633B" w14:textId="732330B7" w:rsidR="00A92101" w:rsidRPr="006C4C84" w:rsidRDefault="001B7EAC" w:rsidP="00ED41C1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  <w:r w:rsidRPr="006C4C84">
              <w:rPr>
                <w:rFonts w:ascii="Arial" w:hAnsi="Arial" w:cs="Arial"/>
                <w:sz w:val="24"/>
                <w:szCs w:val="24"/>
                <w:lang w:eastAsia="en-IE"/>
              </w:rPr>
              <w:lastRenderedPageBreak/>
              <w:t>*PCRA</w:t>
            </w:r>
          </w:p>
          <w:p w14:paraId="1296F8EB" w14:textId="10DA944B" w:rsidR="00A92101" w:rsidRPr="006C4C84" w:rsidRDefault="00A92101" w:rsidP="00ED41C1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eastAsia="en-IE"/>
              </w:rPr>
            </w:pPr>
            <w:r w:rsidRPr="006C4C84">
              <w:rPr>
                <w:rFonts w:ascii="Arial" w:hAnsi="Arial" w:cs="Arial"/>
                <w:sz w:val="24"/>
                <w:szCs w:val="24"/>
                <w:lang w:eastAsia="en-IE"/>
              </w:rPr>
              <w:t>** Gloves off</w:t>
            </w:r>
          </w:p>
          <w:p w14:paraId="39BDA27F" w14:textId="77777777" w:rsidR="00C52EA6" w:rsidRDefault="00C52EA6" w:rsidP="00C52EA6">
            <w:pPr>
              <w:rPr>
                <w:sz w:val="18"/>
                <w:szCs w:val="18"/>
              </w:rPr>
            </w:pPr>
            <w:r w:rsidRPr="005E50B2">
              <w:rPr>
                <w:b/>
              </w:rPr>
              <w:t>Footnote</w:t>
            </w:r>
            <w:r w:rsidRPr="00735284">
              <w:rPr>
                <w:sz w:val="18"/>
                <w:szCs w:val="18"/>
              </w:rPr>
              <w:t xml:space="preserve"> </w:t>
            </w:r>
          </w:p>
          <w:p w14:paraId="3B0FC5DE" w14:textId="77777777" w:rsidR="00C52EA6" w:rsidRDefault="00C52EA6" w:rsidP="00C52EA6">
            <w:pPr>
              <w:rPr>
                <w:rFonts w:eastAsiaTheme="minorEastAsia" w:cstheme="minorHAnsi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652BC2">
              <w:rPr>
                <w:rFonts w:ascii="Calibri" w:eastAsia="Calibri" w:hAnsi="Calibri" w:cs="Times New Roman"/>
                <w:bCs/>
                <w:color w:val="000000"/>
                <w:kern w:val="24"/>
                <w:sz w:val="18"/>
                <w:szCs w:val="18"/>
                <w:lang w:eastAsia="en-IE"/>
              </w:rPr>
              <w:t>The term patient refers to patients, service users, clients, residents, person, supported individual</w:t>
            </w:r>
          </w:p>
          <w:p w14:paraId="460A2FCE" w14:textId="77777777" w:rsidR="006C32EF" w:rsidRPr="006C4C84" w:rsidRDefault="006C32EF" w:rsidP="00ED41C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</w:tbl>
    <w:p w14:paraId="2CA270A0" w14:textId="4A65DB2A" w:rsidR="004F06A4" w:rsidRPr="006C32EF" w:rsidRDefault="004F06A4" w:rsidP="006C32E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F288925" w14:textId="5F4E78DE" w:rsidR="00652BC2" w:rsidRDefault="00652BC2" w:rsidP="0064286B">
      <w:pPr>
        <w:spacing w:after="0" w:line="240" w:lineRule="auto"/>
        <w:rPr>
          <w:rFonts w:ascii="Calibri" w:eastAsia="Calibri" w:hAnsi="Calibri" w:cs="Times New Roman"/>
          <w:bCs/>
          <w:color w:val="000000"/>
          <w:kern w:val="24"/>
          <w:sz w:val="18"/>
          <w:szCs w:val="18"/>
          <w:lang w:eastAsia="en-IE"/>
        </w:rPr>
      </w:pPr>
      <w:bookmarkStart w:id="0" w:name="_Hlk115684541"/>
    </w:p>
    <w:bookmarkEnd w:id="0"/>
    <w:p w14:paraId="1FF7C4A5" w14:textId="2A76D55D" w:rsidR="00B61461" w:rsidRPr="00C63695" w:rsidRDefault="00B61461" w:rsidP="00B61461">
      <w:pPr>
        <w:rPr>
          <w:sz w:val="18"/>
          <w:szCs w:val="18"/>
        </w:rPr>
      </w:pPr>
    </w:p>
    <w:sectPr w:rsidR="00B61461" w:rsidRPr="00C6369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ADFA" w14:textId="77777777" w:rsidR="00FF748B" w:rsidRDefault="00FF748B" w:rsidP="0010089D">
      <w:pPr>
        <w:spacing w:after="0" w:line="240" w:lineRule="auto"/>
      </w:pPr>
      <w:r>
        <w:separator/>
      </w:r>
    </w:p>
  </w:endnote>
  <w:endnote w:type="continuationSeparator" w:id="0">
    <w:p w14:paraId="174D21DD" w14:textId="77777777" w:rsidR="00FF748B" w:rsidRDefault="00FF748B" w:rsidP="0010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224C" w14:textId="7B177E0B" w:rsidR="00C5755D" w:rsidRPr="0016594F" w:rsidRDefault="00C5755D" w:rsidP="00C5755D">
    <w:pPr>
      <w:pStyle w:val="Footer"/>
      <w:jc w:val="right"/>
      <w:rPr>
        <w:sz w:val="16"/>
        <w:szCs w:val="16"/>
      </w:rPr>
    </w:pPr>
    <w:bookmarkStart w:id="1" w:name="_Hlk208334995"/>
    <w:r w:rsidRPr="0016594F">
      <w:rPr>
        <w:sz w:val="16"/>
        <w:szCs w:val="16"/>
      </w:rPr>
      <w:t>Version 1 September 2025</w:t>
    </w:r>
  </w:p>
  <w:bookmarkEnd w:id="1"/>
  <w:p w14:paraId="121E9179" w14:textId="67A3343A" w:rsidR="00C5755D" w:rsidRDefault="00C5755D" w:rsidP="00C5755D">
    <w:pPr>
      <w:pStyle w:val="Footer"/>
      <w:jc w:val="right"/>
    </w:pPr>
  </w:p>
  <w:p w14:paraId="00543B1D" w14:textId="77777777" w:rsidR="0010089D" w:rsidRDefault="0010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353F" w14:textId="77777777" w:rsidR="00FF748B" w:rsidRDefault="00FF748B" w:rsidP="0010089D">
      <w:pPr>
        <w:spacing w:after="0" w:line="240" w:lineRule="auto"/>
      </w:pPr>
      <w:r>
        <w:separator/>
      </w:r>
    </w:p>
  </w:footnote>
  <w:footnote w:type="continuationSeparator" w:id="0">
    <w:p w14:paraId="258C96E5" w14:textId="77777777" w:rsidR="00FF748B" w:rsidRDefault="00FF748B" w:rsidP="0010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E9C5" w14:textId="3C27E3AE" w:rsidR="0010089D" w:rsidRDefault="00100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34A7" w14:textId="615659A2" w:rsidR="0010089D" w:rsidRDefault="0072083C" w:rsidP="0072083C">
    <w:pPr>
      <w:pStyle w:val="Header"/>
      <w:tabs>
        <w:tab w:val="clear" w:pos="4513"/>
        <w:tab w:val="clear" w:pos="9026"/>
        <w:tab w:val="left" w:pos="2295"/>
      </w:tabs>
    </w:pPr>
    <w:r>
      <w:rPr>
        <w:noProof/>
      </w:rPr>
      <w:drawing>
        <wp:inline distT="0" distB="0" distL="0" distR="0" wp14:anchorId="75BA0664" wp14:editId="6058F3E5">
          <wp:extent cx="713105" cy="548640"/>
          <wp:effectExtent l="0" t="0" r="0" b="3810"/>
          <wp:docPr id="8913291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693FF0DA" wp14:editId="6868C4A6">
          <wp:extent cx="792480" cy="536575"/>
          <wp:effectExtent l="0" t="0" r="7620" b="0"/>
          <wp:docPr id="1186434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1E3C" w14:textId="426BC9C2" w:rsidR="0010089D" w:rsidRDefault="00100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EE1"/>
    <w:multiLevelType w:val="hybridMultilevel"/>
    <w:tmpl w:val="190C2F3A"/>
    <w:lvl w:ilvl="0" w:tplc="904063C0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AB2"/>
    <w:multiLevelType w:val="hybridMultilevel"/>
    <w:tmpl w:val="6264061A"/>
    <w:lvl w:ilvl="0" w:tplc="9F003CBC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E74AE"/>
    <w:multiLevelType w:val="hybridMultilevel"/>
    <w:tmpl w:val="1CB6D7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5FF2"/>
    <w:multiLevelType w:val="hybridMultilevel"/>
    <w:tmpl w:val="319A47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76175"/>
    <w:multiLevelType w:val="hybridMultilevel"/>
    <w:tmpl w:val="296454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A03BD"/>
    <w:multiLevelType w:val="hybridMultilevel"/>
    <w:tmpl w:val="92149A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0121"/>
    <w:multiLevelType w:val="hybridMultilevel"/>
    <w:tmpl w:val="864817BC"/>
    <w:lvl w:ilvl="0" w:tplc="2FB0F1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b/>
        <w:color w:val="000000" w:themeColor="dark1"/>
        <w:sz w:val="3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D0E19"/>
    <w:multiLevelType w:val="hybridMultilevel"/>
    <w:tmpl w:val="2898D066"/>
    <w:lvl w:ilvl="0" w:tplc="71AC6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0C4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6E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25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0B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12B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6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09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AB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E63F15"/>
    <w:multiLevelType w:val="hybridMultilevel"/>
    <w:tmpl w:val="8DB27A72"/>
    <w:lvl w:ilvl="0" w:tplc="90DE1052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C1C7E"/>
    <w:multiLevelType w:val="hybridMultilevel"/>
    <w:tmpl w:val="9C8AE2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C2496"/>
    <w:multiLevelType w:val="hybridMultilevel"/>
    <w:tmpl w:val="F75AC190"/>
    <w:lvl w:ilvl="0" w:tplc="0590D75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="Calibri" w:cstheme="minorBidi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8F1559"/>
    <w:multiLevelType w:val="hybridMultilevel"/>
    <w:tmpl w:val="B13E0C96"/>
    <w:lvl w:ilvl="0" w:tplc="4EEAD2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E36486"/>
    <w:multiLevelType w:val="hybridMultilevel"/>
    <w:tmpl w:val="5A0A86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34D65"/>
    <w:multiLevelType w:val="hybridMultilevel"/>
    <w:tmpl w:val="92149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94901"/>
    <w:multiLevelType w:val="hybridMultilevel"/>
    <w:tmpl w:val="C972B988"/>
    <w:lvl w:ilvl="0" w:tplc="06427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88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E2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A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25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E8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4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A8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B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3603543">
    <w:abstractNumId w:val="3"/>
  </w:num>
  <w:num w:numId="2" w16cid:durableId="1126922913">
    <w:abstractNumId w:val="6"/>
  </w:num>
  <w:num w:numId="3" w16cid:durableId="369839473">
    <w:abstractNumId w:val="14"/>
  </w:num>
  <w:num w:numId="4" w16cid:durableId="670716108">
    <w:abstractNumId w:val="10"/>
  </w:num>
  <w:num w:numId="5" w16cid:durableId="1798258602">
    <w:abstractNumId w:val="4"/>
  </w:num>
  <w:num w:numId="6" w16cid:durableId="727456637">
    <w:abstractNumId w:val="12"/>
  </w:num>
  <w:num w:numId="7" w16cid:durableId="428697097">
    <w:abstractNumId w:val="9"/>
  </w:num>
  <w:num w:numId="8" w16cid:durableId="1436559850">
    <w:abstractNumId w:val="2"/>
  </w:num>
  <w:num w:numId="9" w16cid:durableId="1709453948">
    <w:abstractNumId w:val="7"/>
  </w:num>
  <w:num w:numId="10" w16cid:durableId="1511095516">
    <w:abstractNumId w:val="1"/>
  </w:num>
  <w:num w:numId="11" w16cid:durableId="258802514">
    <w:abstractNumId w:val="8"/>
  </w:num>
  <w:num w:numId="12" w16cid:durableId="1926260005">
    <w:abstractNumId w:val="5"/>
  </w:num>
  <w:num w:numId="13" w16cid:durableId="236287770">
    <w:abstractNumId w:val="0"/>
  </w:num>
  <w:num w:numId="14" w16cid:durableId="824274217">
    <w:abstractNumId w:val="13"/>
  </w:num>
  <w:num w:numId="15" w16cid:durableId="1822381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20"/>
    <w:rsid w:val="000228F0"/>
    <w:rsid w:val="00030092"/>
    <w:rsid w:val="0004180E"/>
    <w:rsid w:val="00092012"/>
    <w:rsid w:val="000C4F9C"/>
    <w:rsid w:val="000D0B3D"/>
    <w:rsid w:val="0010089D"/>
    <w:rsid w:val="00130814"/>
    <w:rsid w:val="0014203E"/>
    <w:rsid w:val="00164584"/>
    <w:rsid w:val="00165464"/>
    <w:rsid w:val="0018617C"/>
    <w:rsid w:val="001908E9"/>
    <w:rsid w:val="001A3DA5"/>
    <w:rsid w:val="001B7EAC"/>
    <w:rsid w:val="001C0555"/>
    <w:rsid w:val="001D4C3D"/>
    <w:rsid w:val="001E01DE"/>
    <w:rsid w:val="001E34E1"/>
    <w:rsid w:val="001E5E1F"/>
    <w:rsid w:val="00225212"/>
    <w:rsid w:val="00227DD2"/>
    <w:rsid w:val="00234D53"/>
    <w:rsid w:val="00242C92"/>
    <w:rsid w:val="00292F8E"/>
    <w:rsid w:val="002A3CE1"/>
    <w:rsid w:val="002A4234"/>
    <w:rsid w:val="002C005F"/>
    <w:rsid w:val="002C4E47"/>
    <w:rsid w:val="002D5348"/>
    <w:rsid w:val="002E240F"/>
    <w:rsid w:val="002F5E04"/>
    <w:rsid w:val="002F7849"/>
    <w:rsid w:val="00305C82"/>
    <w:rsid w:val="00322E5C"/>
    <w:rsid w:val="00332FF4"/>
    <w:rsid w:val="00375F2B"/>
    <w:rsid w:val="003A6E9B"/>
    <w:rsid w:val="003D1948"/>
    <w:rsid w:val="003F3053"/>
    <w:rsid w:val="003F6118"/>
    <w:rsid w:val="00455064"/>
    <w:rsid w:val="00486626"/>
    <w:rsid w:val="004B6A46"/>
    <w:rsid w:val="004D189E"/>
    <w:rsid w:val="004F06A4"/>
    <w:rsid w:val="005119AA"/>
    <w:rsid w:val="00543028"/>
    <w:rsid w:val="005A4D3B"/>
    <w:rsid w:val="005C2642"/>
    <w:rsid w:val="005E50B2"/>
    <w:rsid w:val="005F4A09"/>
    <w:rsid w:val="0060626E"/>
    <w:rsid w:val="006073A8"/>
    <w:rsid w:val="006073D5"/>
    <w:rsid w:val="006265F7"/>
    <w:rsid w:val="006371B0"/>
    <w:rsid w:val="0064286B"/>
    <w:rsid w:val="00652BC2"/>
    <w:rsid w:val="00653D20"/>
    <w:rsid w:val="006A3464"/>
    <w:rsid w:val="006A3C24"/>
    <w:rsid w:val="006C32EF"/>
    <w:rsid w:val="006C4C84"/>
    <w:rsid w:val="00715DE5"/>
    <w:rsid w:val="0072083C"/>
    <w:rsid w:val="00735284"/>
    <w:rsid w:val="00751CF3"/>
    <w:rsid w:val="00774783"/>
    <w:rsid w:val="00786913"/>
    <w:rsid w:val="00791F0D"/>
    <w:rsid w:val="007924AF"/>
    <w:rsid w:val="007A155C"/>
    <w:rsid w:val="007A56EB"/>
    <w:rsid w:val="007B1C09"/>
    <w:rsid w:val="007B6AC0"/>
    <w:rsid w:val="007F0CEC"/>
    <w:rsid w:val="007F7786"/>
    <w:rsid w:val="00801EA0"/>
    <w:rsid w:val="008248F3"/>
    <w:rsid w:val="00886059"/>
    <w:rsid w:val="008A58EC"/>
    <w:rsid w:val="008D26C5"/>
    <w:rsid w:val="009172D6"/>
    <w:rsid w:val="00917CE5"/>
    <w:rsid w:val="00926EFF"/>
    <w:rsid w:val="00983001"/>
    <w:rsid w:val="00991BB3"/>
    <w:rsid w:val="00997BE3"/>
    <w:rsid w:val="009D21AE"/>
    <w:rsid w:val="009F46F0"/>
    <w:rsid w:val="00A10960"/>
    <w:rsid w:val="00A56B68"/>
    <w:rsid w:val="00A57EEC"/>
    <w:rsid w:val="00A92101"/>
    <w:rsid w:val="00AC51B4"/>
    <w:rsid w:val="00AD3AB0"/>
    <w:rsid w:val="00AE37DF"/>
    <w:rsid w:val="00B036A9"/>
    <w:rsid w:val="00B242EB"/>
    <w:rsid w:val="00B44080"/>
    <w:rsid w:val="00B4496E"/>
    <w:rsid w:val="00B45F5E"/>
    <w:rsid w:val="00B53CF9"/>
    <w:rsid w:val="00B56B70"/>
    <w:rsid w:val="00B61461"/>
    <w:rsid w:val="00BA2856"/>
    <w:rsid w:val="00BB20D5"/>
    <w:rsid w:val="00BC17EE"/>
    <w:rsid w:val="00BC3AE6"/>
    <w:rsid w:val="00BE62DE"/>
    <w:rsid w:val="00C35267"/>
    <w:rsid w:val="00C46185"/>
    <w:rsid w:val="00C46410"/>
    <w:rsid w:val="00C52EA6"/>
    <w:rsid w:val="00C5755D"/>
    <w:rsid w:val="00C63695"/>
    <w:rsid w:val="00CA2D6E"/>
    <w:rsid w:val="00CD2053"/>
    <w:rsid w:val="00CE38E0"/>
    <w:rsid w:val="00CF7D8D"/>
    <w:rsid w:val="00D0247A"/>
    <w:rsid w:val="00D35F13"/>
    <w:rsid w:val="00D43712"/>
    <w:rsid w:val="00D72121"/>
    <w:rsid w:val="00D75598"/>
    <w:rsid w:val="00D76268"/>
    <w:rsid w:val="00D8011E"/>
    <w:rsid w:val="00DC4EDF"/>
    <w:rsid w:val="00DC70F4"/>
    <w:rsid w:val="00DE5AA6"/>
    <w:rsid w:val="00E52EB4"/>
    <w:rsid w:val="00E611A1"/>
    <w:rsid w:val="00ED41C1"/>
    <w:rsid w:val="00EE476D"/>
    <w:rsid w:val="00F04537"/>
    <w:rsid w:val="00F3587C"/>
    <w:rsid w:val="00F428CF"/>
    <w:rsid w:val="00F97174"/>
    <w:rsid w:val="00FE3124"/>
    <w:rsid w:val="00FE679E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7C4D2"/>
  <w15:chartTrackingRefBased/>
  <w15:docId w15:val="{910340E4-F235-442A-96BA-8F303F93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464"/>
    <w:pPr>
      <w:keepNext/>
      <w:keepLines/>
      <w:shd w:val="clear" w:color="auto" w:fill="F2F2F2" w:themeFill="background1" w:themeFillShade="F2"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464"/>
    <w:pPr>
      <w:keepNext/>
      <w:keepLines/>
      <w:shd w:val="clear" w:color="auto" w:fill="F2F2F2" w:themeFill="background1" w:themeFillShade="F2"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653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D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6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7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5284"/>
    <w:pPr>
      <w:spacing w:after="0" w:line="240" w:lineRule="auto"/>
    </w:pPr>
  </w:style>
  <w:style w:type="table" w:styleId="TableGrid">
    <w:name w:val="Table Grid"/>
    <w:basedOn w:val="TableNormal"/>
    <w:uiPriority w:val="39"/>
    <w:rsid w:val="00BC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1EA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2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0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89D"/>
  </w:style>
  <w:style w:type="paragraph" w:styleId="Footer">
    <w:name w:val="footer"/>
    <w:basedOn w:val="Normal"/>
    <w:link w:val="FooterChar"/>
    <w:uiPriority w:val="99"/>
    <w:unhideWhenUsed/>
    <w:rsid w:val="00100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89D"/>
  </w:style>
  <w:style w:type="character" w:customStyle="1" w:styleId="Heading1Char">
    <w:name w:val="Heading 1 Char"/>
    <w:basedOn w:val="DefaultParagraphFont"/>
    <w:link w:val="Heading1"/>
    <w:uiPriority w:val="9"/>
    <w:rsid w:val="00165464"/>
    <w:rPr>
      <w:rFonts w:asciiTheme="majorHAnsi" w:eastAsiaTheme="majorEastAsia" w:hAnsiTheme="majorHAnsi" w:cstheme="majorBidi"/>
      <w:color w:val="000000" w:themeColor="text1"/>
      <w:sz w:val="56"/>
      <w:szCs w:val="32"/>
      <w:shd w:val="clear" w:color="auto" w:fill="F2F2F2" w:themeFill="background1" w:themeFillShade="F2"/>
    </w:rPr>
  </w:style>
  <w:style w:type="character" w:customStyle="1" w:styleId="Heading2Char">
    <w:name w:val="Heading 2 Char"/>
    <w:basedOn w:val="DefaultParagraphFont"/>
    <w:link w:val="Heading2"/>
    <w:uiPriority w:val="9"/>
    <w:rsid w:val="00165464"/>
    <w:rPr>
      <w:rFonts w:asciiTheme="majorHAnsi" w:eastAsiaTheme="majorEastAsia" w:hAnsiTheme="majorHAnsi" w:cstheme="majorBidi"/>
      <w:color w:val="000000" w:themeColor="text1"/>
      <w:sz w:val="36"/>
      <w:szCs w:val="26"/>
      <w:shd w:val="clear" w:color="auto" w:fill="F2F2F2" w:themeFill="background1" w:themeFillShade="F2"/>
    </w:rPr>
  </w:style>
  <w:style w:type="character" w:styleId="UnresolvedMention">
    <w:name w:val="Unresolved Mention"/>
    <w:basedOn w:val="DefaultParagraphFont"/>
    <w:uiPriority w:val="99"/>
    <w:semiHidden/>
    <w:unhideWhenUsed/>
    <w:rsid w:val="00720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0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ie/en/department-of-health/publications/infection-prevention-and-control-ipc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iqa.ie/reports-and-publications/niac-immunisation-guideline/chapter-04-immunisation-and-health-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93419167094489A6585B52C525A40" ma:contentTypeVersion="5" ma:contentTypeDescription="Create a new document." ma:contentTypeScope="" ma:versionID="fa740288375000d7c8a6d191f5c51d44">
  <xsd:schema xmlns:xsd="http://www.w3.org/2001/XMLSchema" xmlns:xs="http://www.w3.org/2001/XMLSchema" xmlns:p="http://schemas.microsoft.com/office/2006/metadata/properties" xmlns:ns3="f9bfe5f4-4f05-45db-b766-76ff790d9dd0" targetNamespace="http://schemas.microsoft.com/office/2006/metadata/properties" ma:root="true" ma:fieldsID="f5133673e50d8b98bf56e01bace437c6" ns3:_="">
    <xsd:import namespace="f9bfe5f4-4f05-45db-b766-76ff790d9d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e5f4-4f05-45db-b766-76ff790d9dd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bfe5f4-4f05-45db-b766-76ff790d9dd0" xsi:nil="true"/>
  </documentManagement>
</p:properties>
</file>

<file path=customXml/itemProps1.xml><?xml version="1.0" encoding="utf-8"?>
<ds:datastoreItem xmlns:ds="http://schemas.openxmlformats.org/officeDocument/2006/customXml" ds:itemID="{81A0F413-5666-4D8D-B7EC-CF8C0610D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fe5f4-4f05-45db-b766-76ff790d9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46A46-41ED-4908-88A9-BD49F3D03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677F7-07AA-4787-8AFD-449A7B38528C}">
  <ds:schemaRefs>
    <ds:schemaRef ds:uri="http://schemas.microsoft.com/office/2006/metadata/properties"/>
    <ds:schemaRef ds:uri="http://schemas.microsoft.com/office/infopath/2007/PartnerControls"/>
    <ds:schemaRef ds:uri="f9bfe5f4-4f05-45db-b766-76ff790d9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Slevin, Barbara</dc:creator>
  <cp:keywords/>
  <dc:description/>
  <cp:lastModifiedBy>Barbara Slevin</cp:lastModifiedBy>
  <cp:revision>2</cp:revision>
  <dcterms:created xsi:type="dcterms:W3CDTF">2025-09-26T09:18:00Z</dcterms:created>
  <dcterms:modified xsi:type="dcterms:W3CDTF">2025-09-26T09:18:00Z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0x010100B9493419167094489A6585B52C525A40</vt:lpwstr>
  </property>
</Properties>
</file>