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6F" w:rsidRDefault="00EE430B" w:rsidP="00E54B6C">
      <w:r>
        <w:rPr>
          <w:noProof/>
          <w:lang w:val="en-IE" w:eastAsia="en-IE"/>
        </w:rPr>
        <mc:AlternateContent>
          <mc:Choice Requires="wps">
            <w:drawing>
              <wp:anchor distT="0" distB="0" distL="114300" distR="114300" simplePos="0" relativeHeight="251671552" behindDoc="0" locked="0" layoutInCell="1" allowOverlap="1" wp14:anchorId="07A6F208" wp14:editId="2A9FC213">
                <wp:simplePos x="0" y="0"/>
                <wp:positionH relativeFrom="column">
                  <wp:posOffset>-88710</wp:posOffset>
                </wp:positionH>
                <wp:positionV relativeFrom="paragraph">
                  <wp:posOffset>-94539</wp:posOffset>
                </wp:positionV>
                <wp:extent cx="6953250" cy="614149"/>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614149"/>
                        </a:xfrm>
                        <a:prstGeom prst="rect">
                          <a:avLst/>
                        </a:prstGeom>
                        <a:solidFill>
                          <a:srgbClr val="C5DABE"/>
                        </a:solidFill>
                        <a:ln>
                          <a:solidFill>
                            <a:srgbClr val="699D4A"/>
                          </a:solidFill>
                          <a:headEnd/>
                          <a:tailEnd/>
                        </a:ln>
                      </wps:spPr>
                      <wps:style>
                        <a:lnRef idx="2">
                          <a:schemeClr val="dk1"/>
                        </a:lnRef>
                        <a:fillRef idx="1">
                          <a:schemeClr val="lt1"/>
                        </a:fillRef>
                        <a:effectRef idx="0">
                          <a:schemeClr val="dk1"/>
                        </a:effectRef>
                        <a:fontRef idx="minor">
                          <a:schemeClr val="dk1"/>
                        </a:fontRef>
                      </wps:style>
                      <wps:txbx>
                        <w:txbxContent>
                          <w:p w:rsidR="00EE430B" w:rsidRPr="00AE367C" w:rsidRDefault="00EE430B" w:rsidP="00EE430B">
                            <w:pPr>
                              <w:spacing w:after="0"/>
                              <w:jc w:val="center"/>
                              <w:rPr>
                                <w:b/>
                                <w:sz w:val="32"/>
                              </w:rPr>
                            </w:pPr>
                            <w:r w:rsidRPr="00AE367C">
                              <w:rPr>
                                <w:b/>
                                <w:sz w:val="32"/>
                              </w:rPr>
                              <w:t xml:space="preserve">DISCLOSING A PATIENT SAFETY INCIDENT </w:t>
                            </w:r>
                            <w:r w:rsidR="002F34D2">
                              <w:rPr>
                                <w:b/>
                                <w:sz w:val="32"/>
                              </w:rPr>
                              <w:t xml:space="preserve">INVOLVING </w:t>
                            </w:r>
                            <w:r w:rsidR="00AE367C">
                              <w:rPr>
                                <w:b/>
                                <w:sz w:val="32"/>
                              </w:rPr>
                              <w:t xml:space="preserve">ANOTHER </w:t>
                            </w:r>
                            <w:r w:rsidR="002F34D2">
                              <w:rPr>
                                <w:b/>
                                <w:sz w:val="32"/>
                              </w:rPr>
                              <w:t>TEAM OR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7.45pt;width:547.5pt;height:4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OkXAIAABsFAAAOAAAAZHJzL2Uyb0RvYy54bWysVNuO2jAQfa/Uf7D8XgIp0BIRVizsVpW2&#10;F3W3H2Acm1jreFLbkNCv79gJKb2Ih6ovli9zzpy5eXnTVpochXUKTE4nozElwnAolNnn9OvT/au3&#10;lDjPTME0GJHTk3D0ZvXyxbKpM5FCCboQliCJcVlT57T0vs6SxPFSVMyNoBYGHyXYink82n1SWNYg&#10;e6WTdDyeJw3YorbAhXN4u+0e6SrySym4/ySlE57onKI2H1cb111Yk9WSZXvL6lLxXgb7BxUVUwad&#10;DlRb5hk5WPUHVaW4BQfSjzhUCUipuIgxYDST8W/RPJasFjEWTI6rhzS5/0fLPx4/W6IKrB0lhlVY&#10;oifRenILLUlDdpraZWj0WKOZb/E6WIZIXf0A/NkRA5uSmb1YWwtNKViB6iYBmVxAOx4XSHbNByjQ&#10;DTt4iESttFUgxGQQZMcqnYbKBCkcL+eL2et0hk8c3+aT6WS6iC5YdkbX1vl3AioSNjm1WPnIzo4P&#10;zgc1LDubRPWgVXGvtI4Hu99ttCVHhl2ymW3Xt3c9u7s00+Y6cr5YbKfrvyFDWu5MEZvNM6W7PUoK&#10;lDFPITV9kvxJi+BImy9CYmkw/LTLeBgKMQgtnrs095YBIjGgAdSX6VeQ9mdQbxtgIg7KABxf9zZY&#10;R49g/ACslAF7HSw7+3PUXayhUXy7a/t220Fxwkax0E0r/i64KcF+p6TBSc2p+3ZgVlCi3xtstsVk&#10;Og2jHQ/T2ZsUD/byZXf5wgxHqpx6SrrtxsfvIARjYI1NKVXslyCqU9KLxQmMbdT/FmHEL8/R6uef&#10;tvoBAAD//wMAUEsDBBQABgAIAAAAIQAd1DiY3wAAAAsBAAAPAAAAZHJzL2Rvd25yZXYueG1sTI/N&#10;TsMwEITvSLyDtUhcUOsEocqEOBXi59ALUksOHLfxEkfE6yh2m/Tt63KB2+7OaPabcj27XhxpDJ1n&#10;DfkyA0HceNNxq6H+fF8oECEiG+w9k4YTBVhX11clFsZPvKXjLrYihXAoUIONcSikDI0lh2HpB+Kk&#10;ffvRYUzr2Eoz4pTCXS/vs2wlHXacPlgc6MVS87M7OA2v9V399mFPW7KN/5o2K2WHELS+vZmfn0BE&#10;muOfGS74CR2qxLT3BzZB9BoW+UPqEn+HRxAXR6bydNprULkCWZXyf4fqDAAA//8DAFBLAQItABQA&#10;BgAIAAAAIQC2gziS/gAAAOEBAAATAAAAAAAAAAAAAAAAAAAAAABbQ29udGVudF9UeXBlc10ueG1s&#10;UEsBAi0AFAAGAAgAAAAhADj9If/WAAAAlAEAAAsAAAAAAAAAAAAAAAAALwEAAF9yZWxzLy5yZWxz&#10;UEsBAi0AFAAGAAgAAAAhAJ+Fg6RcAgAAGwUAAA4AAAAAAAAAAAAAAAAALgIAAGRycy9lMm9Eb2Mu&#10;eG1sUEsBAi0AFAAGAAgAAAAhAB3UOJjfAAAACwEAAA8AAAAAAAAAAAAAAAAAtgQAAGRycy9kb3du&#10;cmV2LnhtbFBLBQYAAAAABAAEAPMAAADCBQAAAAA=&#10;" fillcolor="#c5dabe" strokecolor="#699d4a" strokeweight="2pt">
                <v:textbox>
                  <w:txbxContent>
                    <w:p w:rsidR="00EE430B" w:rsidRPr="00AE367C" w:rsidRDefault="00EE430B" w:rsidP="00EE430B">
                      <w:pPr>
                        <w:spacing w:after="0"/>
                        <w:jc w:val="center"/>
                        <w:rPr>
                          <w:b/>
                          <w:sz w:val="32"/>
                        </w:rPr>
                      </w:pPr>
                      <w:r w:rsidRPr="00AE367C">
                        <w:rPr>
                          <w:b/>
                          <w:sz w:val="32"/>
                        </w:rPr>
                        <w:t xml:space="preserve">DISCLOSING A PATIENT SAFETY INCIDENT </w:t>
                      </w:r>
                      <w:r w:rsidR="002F34D2">
                        <w:rPr>
                          <w:b/>
                          <w:sz w:val="32"/>
                        </w:rPr>
                        <w:t xml:space="preserve">INVOLVING </w:t>
                      </w:r>
                      <w:r w:rsidR="00AE367C">
                        <w:rPr>
                          <w:b/>
                          <w:sz w:val="32"/>
                        </w:rPr>
                        <w:t xml:space="preserve">ANOTHER </w:t>
                      </w:r>
                      <w:r w:rsidR="002F34D2">
                        <w:rPr>
                          <w:b/>
                          <w:sz w:val="32"/>
                        </w:rPr>
                        <w:t>TEAM OR ORGANISATION</w:t>
                      </w:r>
                    </w:p>
                  </w:txbxContent>
                </v:textbox>
              </v:shape>
            </w:pict>
          </mc:Fallback>
        </mc:AlternateContent>
      </w:r>
    </w:p>
    <w:p w:rsidR="00F44F95" w:rsidRDefault="00F44F95" w:rsidP="00EE430B">
      <w:pPr>
        <w:spacing w:after="0"/>
      </w:pPr>
    </w:p>
    <w:p w:rsidR="00AE367C" w:rsidRDefault="00AE367C" w:rsidP="00AE367C">
      <w:pPr>
        <w:spacing w:after="0"/>
        <w:jc w:val="both"/>
      </w:pPr>
    </w:p>
    <w:p w:rsidR="00464497" w:rsidRDefault="00E54B6C" w:rsidP="002D1CCC">
      <w:pPr>
        <w:jc w:val="both"/>
      </w:pPr>
      <w:r>
        <w:t>Open disclosure is a core professional requirement which is anchored in professional ethics.</w:t>
      </w:r>
      <w:r w:rsidR="00AE367C">
        <w:t xml:space="preserve"> A health services provider </w:t>
      </w:r>
      <w:r w:rsidR="002F34D2">
        <w:t>may</w:t>
      </w:r>
      <w:r w:rsidR="00DB6159">
        <w:t xml:space="preserve"> </w:t>
      </w:r>
      <w:r w:rsidR="00AE367C">
        <w:t xml:space="preserve">suspect or </w:t>
      </w:r>
      <w:r w:rsidR="00DB6159">
        <w:t>identify</w:t>
      </w:r>
      <w:r>
        <w:t xml:space="preserve"> that a</w:t>
      </w:r>
      <w:r w:rsidR="00306C97">
        <w:t xml:space="preserve"> patient safety incident </w:t>
      </w:r>
      <w:r w:rsidR="002F34D2">
        <w:t>has</w:t>
      </w:r>
      <w:r>
        <w:t xml:space="preserve"> occurred in another</w:t>
      </w:r>
      <w:r w:rsidR="002F34D2">
        <w:t xml:space="preserve"> team or organisation</w:t>
      </w:r>
      <w:r>
        <w:t>. This can be a challenging situation</w:t>
      </w:r>
      <w:r w:rsidR="004273F4">
        <w:t xml:space="preserve"> and may raise questions such as</w:t>
      </w:r>
      <w:r w:rsidRPr="007816E9">
        <w:t xml:space="preserve"> whether an error </w:t>
      </w:r>
      <w:r w:rsidR="00EC7928">
        <w:t xml:space="preserve">or failure in the delivery of care </w:t>
      </w:r>
      <w:r w:rsidR="002F34D2">
        <w:t xml:space="preserve">has </w:t>
      </w:r>
      <w:r w:rsidRPr="007816E9">
        <w:t xml:space="preserve">occurred, how </w:t>
      </w:r>
      <w:r w:rsidR="002F34D2">
        <w:t xml:space="preserve">or why </w:t>
      </w:r>
      <w:r w:rsidR="004273F4">
        <w:t>the incident</w:t>
      </w:r>
      <w:r w:rsidR="002F34D2">
        <w:t xml:space="preserve"> happened</w:t>
      </w:r>
      <w:r w:rsidRPr="007816E9">
        <w:t xml:space="preserve">, </w:t>
      </w:r>
      <w:r w:rsidR="004273F4">
        <w:t xml:space="preserve">what actions have been taken to date, </w:t>
      </w:r>
      <w:r w:rsidRPr="007816E9">
        <w:t xml:space="preserve">which professionals carry </w:t>
      </w:r>
      <w:r w:rsidR="002F34D2">
        <w:t>the</w:t>
      </w:r>
      <w:r w:rsidRPr="007816E9">
        <w:t xml:space="preserve"> responsibilities</w:t>
      </w:r>
      <w:r w:rsidR="002F34D2">
        <w:t xml:space="preserve"> in relation to open </w:t>
      </w:r>
      <w:bookmarkStart w:id="0" w:name="_GoBack"/>
      <w:bookmarkEnd w:id="0"/>
      <w:r w:rsidR="002F34D2">
        <w:t>disclosure</w:t>
      </w:r>
      <w:r>
        <w:t xml:space="preserve"> and how </w:t>
      </w:r>
      <w:r w:rsidRPr="007816E9">
        <w:t xml:space="preserve">to talk </w:t>
      </w:r>
      <w:r w:rsidR="002F34D2">
        <w:t>to</w:t>
      </w:r>
      <w:r w:rsidRPr="007816E9">
        <w:t xml:space="preserve"> the patient</w:t>
      </w:r>
      <w:r w:rsidR="00AE367C">
        <w:t>/relevant person</w:t>
      </w:r>
      <w:r w:rsidRPr="007816E9">
        <w:t xml:space="preserve"> about the </w:t>
      </w:r>
      <w:r w:rsidR="002F34D2">
        <w:t>incident.</w:t>
      </w:r>
    </w:p>
    <w:p w:rsidR="00E54B6C" w:rsidRDefault="00E54B6C" w:rsidP="002D1CCC">
      <w:pPr>
        <w:jc w:val="both"/>
      </w:pPr>
      <w:r w:rsidRPr="007816E9">
        <w:t xml:space="preserve">When </w:t>
      </w:r>
      <w:r>
        <w:t xml:space="preserve">we are </w:t>
      </w:r>
      <w:r w:rsidRPr="007816E9">
        <w:t>faced with a potential</w:t>
      </w:r>
      <w:r w:rsidR="00AE367C">
        <w:t xml:space="preserve"> patient safety</w:t>
      </w:r>
      <w:r w:rsidRPr="007816E9">
        <w:t xml:space="preserve"> </w:t>
      </w:r>
      <w:r w:rsidR="00306C97">
        <w:t>incident</w:t>
      </w:r>
      <w:r w:rsidRPr="007816E9">
        <w:t xml:space="preserve"> involving another </w:t>
      </w:r>
      <w:r w:rsidR="002F34D2">
        <w:t>team or organisation</w:t>
      </w:r>
      <w:r w:rsidR="004273F4">
        <w:t xml:space="preserve"> a professional response </w:t>
      </w:r>
      <w:r w:rsidRPr="007816E9">
        <w:t>should lead us to turn toward</w:t>
      </w:r>
      <w:r w:rsidR="00910699">
        <w:t>s</w:t>
      </w:r>
      <w:r w:rsidRPr="007816E9">
        <w:t>, rather than away from</w:t>
      </w:r>
      <w:r w:rsidR="002F34D2">
        <w:t xml:space="preserve"> those</w:t>
      </w:r>
      <w:r w:rsidR="00DB6159">
        <w:t xml:space="preserve"> involved</w:t>
      </w:r>
      <w:r w:rsidRPr="007816E9">
        <w:t xml:space="preserve">. </w:t>
      </w:r>
      <w:r w:rsidR="00910699">
        <w:t>M</w:t>
      </w:r>
      <w:r w:rsidRPr="007816E9">
        <w:t>aking the effort to understand what happened and ensure appropriate communication with the patient</w:t>
      </w:r>
      <w:r w:rsidR="00AE367C">
        <w:t>/relevant person</w:t>
      </w:r>
      <w:r w:rsidRPr="007816E9">
        <w:t xml:space="preserve"> </w:t>
      </w:r>
      <w:r w:rsidR="00EC7928">
        <w:t>is the priority.</w:t>
      </w:r>
      <w:r w:rsidR="00910699">
        <w:t xml:space="preserve"> </w:t>
      </w:r>
      <w:r w:rsidR="00EC7928">
        <w:t xml:space="preserve">The </w:t>
      </w:r>
      <w:r w:rsidR="00AE367C">
        <w:t>o</w:t>
      </w:r>
      <w:r w:rsidR="00DB6159">
        <w:t xml:space="preserve">pen and </w:t>
      </w:r>
      <w:r w:rsidR="00DB6159" w:rsidRPr="007816E9">
        <w:t>transparent</w:t>
      </w:r>
      <w:r w:rsidRPr="007816E9">
        <w:t xml:space="preserve"> disclosure of </w:t>
      </w:r>
      <w:r w:rsidR="00AE367C">
        <w:t xml:space="preserve">patient safety </w:t>
      </w:r>
      <w:r w:rsidR="00306C97">
        <w:t>incidents</w:t>
      </w:r>
      <w:r w:rsidRPr="007816E9">
        <w:t xml:space="preserve"> is a shared professional responsibility. Only a collective approach to accountability can fully meet the needs of patients and families after </w:t>
      </w:r>
      <w:r w:rsidR="00910699">
        <w:t>patient safety incidents</w:t>
      </w:r>
      <w:r w:rsidRPr="007816E9">
        <w:t>.</w:t>
      </w:r>
      <w:r w:rsidR="003849DA">
        <w:t xml:space="preserve"> Ultimately the responsibility for the initiation of the open disclosure process lies with the team whose care the patient is under at the time the patient safety incident becomes known. </w:t>
      </w:r>
      <w:r w:rsidR="00EC7928">
        <w:t>How the process is managed and by whom will be agreed in discussion with the other team/organisation involved.</w:t>
      </w:r>
    </w:p>
    <w:p w:rsidR="00617CED" w:rsidRDefault="00637678" w:rsidP="00EE430B">
      <w:pPr>
        <w:spacing w:after="0"/>
      </w:pPr>
      <w:r>
        <w:rPr>
          <w:b/>
          <w:noProof/>
          <w:lang w:val="en-IE" w:eastAsia="en-IE"/>
        </w:rPr>
        <mc:AlternateContent>
          <mc:Choice Requires="wps">
            <w:drawing>
              <wp:anchor distT="0" distB="0" distL="114300" distR="114300" simplePos="0" relativeHeight="251665408" behindDoc="0" locked="0" layoutInCell="1" allowOverlap="1" wp14:anchorId="0271CDB8" wp14:editId="62EDC78F">
                <wp:simplePos x="0" y="0"/>
                <wp:positionH relativeFrom="column">
                  <wp:posOffset>-470535</wp:posOffset>
                </wp:positionH>
                <wp:positionV relativeFrom="paragraph">
                  <wp:posOffset>31115</wp:posOffset>
                </wp:positionV>
                <wp:extent cx="8042702" cy="63795"/>
                <wp:effectExtent l="0" t="0" r="0" b="0"/>
                <wp:wrapNone/>
                <wp:docPr id="5" name="Rectangle 5"/>
                <wp:cNvGraphicFramePr/>
                <a:graphic xmlns:a="http://schemas.openxmlformats.org/drawingml/2006/main">
                  <a:graphicData uri="http://schemas.microsoft.com/office/word/2010/wordprocessingShape">
                    <wps:wsp>
                      <wps:cNvSpPr/>
                      <wps:spPr>
                        <a:xfrm>
                          <a:off x="0" y="0"/>
                          <a:ext cx="8042702" cy="63795"/>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37.05pt;margin-top:2.45pt;width:633.3pt;height: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8DmQIAAIQFAAAOAAAAZHJzL2Uyb0RvYy54bWysVE1v2zAMvQ/YfxB0X+1kSdsEdYqgRYcB&#10;RVe0HXpWZCk2IIsapcTJfv0o+aNdV+wwLAdFFMlH8pnkxeWhMWyv0NdgCz45yTlTVkJZ223Bvz/d&#10;fDrnzAdhS2HAqoIfleeXq48fLlq3VFOowJQKGYFYv2xdwasQ3DLLvKxUI/wJOGVJqQEbEUjEbVai&#10;aAm9Mdk0z0+zFrB0CFJ5T6/XnZKvEr7WSoZvWnsVmCk45RbSiencxDNbXYjlFoWratmnIf4hi0bU&#10;loKOUNciCLbD+g+oppYIHnQ4kdBkoHUtVaqBqpnkb6p5rIRTqRYix7uRJv//YOXd/h5ZXRZ8zpkV&#10;DX2iByJN2K1RbB7paZ1fktWju8de8nSNtR40NvGfqmCHROlxpFQdApP0eJ7Ppmf5lDNJutPPZ4uE&#10;mb04O/Thi4KGxUvBkYInIsX+1gcKSKaDSYzlwdTlTW1MEnC7uTLI9oK+7ulicT1bx4zJ5TczY6Ox&#10;hejWqeNLFgvrSkm3cDQq2hn7oDQxQslPUyapF9UYR0ipbJh0qkqUqgs/z+k3RI/dGz1SLgkwImuK&#10;P2L3AINlBzJgd1n29tFVpVYenfO/JdY5jx4pMtgwOje1BXwPwFBVfeTOfiCpoyaytIHySP2C0A2S&#10;d/Kmpu92K3y4F0iTQzNG2yB8o0MbaAsO/Y2zCvDne+/RnhqatJy1NIkF9z92AhVn5qulVl9MZrM4&#10;ukmYzc+mJOBrzea1xu6aK6B2mNDecTJdo30ww1UjNM+0NNYxKqmElRS74DLgIFyFbkPQ2pFqvU5m&#10;NK5OhFv76GQEj6zGvnw6PAt0ffMG6vo7GKZWLN/0cGcbPS2sdwF0nRr8hdeebxr11Dj9Woq75LWc&#10;rF6W5+oXAAAA//8DAFBLAwQUAAYACAAAACEAQoJ09OEAAAAJAQAADwAAAGRycy9kb3ducmV2Lnht&#10;bEyPQU/DMAyF70j8h8hIXNCWtiqDlabTQJoEFyQKEuKWNV5baJySZFv593gnuNl+T8/fK1eTHcQB&#10;fegdKUjnCQikxpmeWgVvr5vZLYgQNRk9OEIFPxhgVZ2flbow7kgveKhjKziEQqEVdDGOhZSh6dDq&#10;MHcjEms7562OvPpWGq+PHG4HmSXJQlrdE3/o9IgPHTZf9d4qWJj17jHk2eb7/fM+91fjR1o/Pyl1&#10;eTGt70BEnOKfGU74jA4VM23dnkwQg4LZTZ6yVUG+BHHS02V2DWLLE19kVcr/DapfAAAA//8DAFBL&#10;AQItABQABgAIAAAAIQC2gziS/gAAAOEBAAATAAAAAAAAAAAAAAAAAAAAAABbQ29udGVudF9UeXBl&#10;c10ueG1sUEsBAi0AFAAGAAgAAAAhADj9If/WAAAAlAEAAAsAAAAAAAAAAAAAAAAALwEAAF9yZWxz&#10;Ly5yZWxzUEsBAi0AFAAGAAgAAAAhAGHqrwOZAgAAhAUAAA4AAAAAAAAAAAAAAAAALgIAAGRycy9l&#10;Mm9Eb2MueG1sUEsBAi0AFAAGAAgAAAAhAEKCdPThAAAACQEAAA8AAAAAAAAAAAAAAAAA8wQAAGRy&#10;cy9kb3ducmV2LnhtbFBLBQYAAAAABAAEAPMAAAABBgAAAAA=&#10;" fillcolor="#699d4a" stroked="f" strokeweight="2pt"/>
            </w:pict>
          </mc:Fallback>
        </mc:AlternateContent>
      </w:r>
    </w:p>
    <w:p w:rsidR="00C051B5" w:rsidRDefault="00546F7B" w:rsidP="00C051B5">
      <w:pPr>
        <w:tabs>
          <w:tab w:val="left" w:pos="4052"/>
        </w:tabs>
        <w:spacing w:after="0"/>
        <w:rPr>
          <w:b/>
          <w:sz w:val="28"/>
        </w:rPr>
      </w:pPr>
      <w:r>
        <w:rPr>
          <w:b/>
          <w:sz w:val="28"/>
        </w:rPr>
        <w:t>Establish the facts and agree the way forward</w:t>
      </w:r>
    </w:p>
    <w:tbl>
      <w:tblPr>
        <w:tblStyle w:val="TableGrid"/>
        <w:tblW w:w="10632" w:type="dxa"/>
        <w:tblInd w:w="108" w:type="dxa"/>
        <w:tblBorders>
          <w:top w:val="single" w:sz="12" w:space="0" w:color="699D4A"/>
          <w:left w:val="single" w:sz="12" w:space="0" w:color="699D4A"/>
          <w:bottom w:val="single" w:sz="12" w:space="0" w:color="699D4A"/>
          <w:right w:val="single" w:sz="12" w:space="0" w:color="699D4A"/>
          <w:insideH w:val="single" w:sz="12" w:space="0" w:color="699D4A"/>
          <w:insideV w:val="single" w:sz="12" w:space="0" w:color="699D4A"/>
        </w:tblBorders>
        <w:tblLook w:val="04A0" w:firstRow="1" w:lastRow="0" w:firstColumn="1" w:lastColumn="0" w:noHBand="0" w:noVBand="1"/>
      </w:tblPr>
      <w:tblGrid>
        <w:gridCol w:w="4111"/>
        <w:gridCol w:w="6521"/>
      </w:tblGrid>
      <w:tr w:rsidR="00546F7B" w:rsidTr="00546F7B">
        <w:tc>
          <w:tcPr>
            <w:tcW w:w="4111" w:type="dxa"/>
            <w:shd w:val="clear" w:color="auto" w:fill="auto"/>
          </w:tcPr>
          <w:p w:rsidR="00546F7B" w:rsidRPr="00637678" w:rsidRDefault="00546F7B" w:rsidP="001C26E1">
            <w:pPr>
              <w:pStyle w:val="ListParagraph"/>
              <w:numPr>
                <w:ilvl w:val="0"/>
                <w:numId w:val="1"/>
              </w:numPr>
            </w:pPr>
            <w:r>
              <w:t xml:space="preserve">Explore </w:t>
            </w:r>
            <w:r w:rsidR="008B1A38">
              <w:t xml:space="preserve">/ </w:t>
            </w:r>
            <w:r>
              <w:t>do not ignore.</w:t>
            </w:r>
          </w:p>
        </w:tc>
        <w:tc>
          <w:tcPr>
            <w:tcW w:w="6521" w:type="dxa"/>
          </w:tcPr>
          <w:p w:rsidR="00546F7B" w:rsidRDefault="00546F7B" w:rsidP="007D7983">
            <w:pPr>
              <w:pStyle w:val="ListParagraph"/>
              <w:numPr>
                <w:ilvl w:val="0"/>
                <w:numId w:val="1"/>
              </w:numPr>
            </w:pPr>
            <w:r>
              <w:t>Establish the facts together</w:t>
            </w:r>
            <w:r w:rsidR="008B1A38">
              <w:t xml:space="preserve"> with the team involved</w:t>
            </w:r>
            <w:r>
              <w:t xml:space="preserve"> and do not rush to judgement.</w:t>
            </w:r>
          </w:p>
        </w:tc>
      </w:tr>
      <w:tr w:rsidR="00546F7B" w:rsidTr="00546F7B">
        <w:tc>
          <w:tcPr>
            <w:tcW w:w="4111" w:type="dxa"/>
            <w:shd w:val="clear" w:color="auto" w:fill="auto"/>
          </w:tcPr>
          <w:p w:rsidR="00546F7B" w:rsidRPr="00637678" w:rsidRDefault="00546F7B" w:rsidP="00546F7B">
            <w:pPr>
              <w:pStyle w:val="ListParagraph"/>
              <w:numPr>
                <w:ilvl w:val="0"/>
                <w:numId w:val="1"/>
              </w:numPr>
            </w:pPr>
            <w:r>
              <w:t>Establish if the team involved has initiated the open disclosure / incident review process.</w:t>
            </w:r>
          </w:p>
        </w:tc>
        <w:tc>
          <w:tcPr>
            <w:tcW w:w="6521" w:type="dxa"/>
          </w:tcPr>
          <w:p w:rsidR="00546F7B" w:rsidRPr="00637678" w:rsidRDefault="00546F7B" w:rsidP="00546F7B">
            <w:pPr>
              <w:pStyle w:val="ListParagraph"/>
              <w:numPr>
                <w:ilvl w:val="0"/>
                <w:numId w:val="1"/>
              </w:numPr>
            </w:pPr>
            <w:r w:rsidRPr="00637678">
              <w:t>Frame the conversation to avoid accusation or defensiveness</w:t>
            </w:r>
            <w:r>
              <w:t xml:space="preserve">. </w:t>
            </w:r>
            <w:r w:rsidR="00E95AFC">
              <w:t>Avoid speculation and blame.</w:t>
            </w:r>
          </w:p>
          <w:p w:rsidR="00546F7B" w:rsidRDefault="00546F7B" w:rsidP="007D7983"/>
        </w:tc>
      </w:tr>
      <w:tr w:rsidR="00546F7B" w:rsidTr="00546F7B">
        <w:tc>
          <w:tcPr>
            <w:tcW w:w="4111" w:type="dxa"/>
            <w:shd w:val="clear" w:color="auto" w:fill="auto"/>
          </w:tcPr>
          <w:p w:rsidR="00546F7B" w:rsidRPr="00637678" w:rsidRDefault="00546F7B" w:rsidP="001C26E1">
            <w:pPr>
              <w:pStyle w:val="ListParagraph"/>
              <w:numPr>
                <w:ilvl w:val="0"/>
                <w:numId w:val="1"/>
              </w:numPr>
            </w:pPr>
            <w:r w:rsidRPr="00637678">
              <w:t>Use open questions and be mindful of your body language and tone of voice</w:t>
            </w:r>
            <w:r>
              <w:t>.</w:t>
            </w:r>
          </w:p>
          <w:p w:rsidR="00546F7B" w:rsidRPr="00637678" w:rsidRDefault="00546F7B" w:rsidP="001C26E1"/>
        </w:tc>
        <w:tc>
          <w:tcPr>
            <w:tcW w:w="6521" w:type="dxa"/>
          </w:tcPr>
          <w:p w:rsidR="00546F7B" w:rsidRDefault="008B1A38" w:rsidP="008B1A38">
            <w:pPr>
              <w:pStyle w:val="ListParagraph"/>
              <w:numPr>
                <w:ilvl w:val="0"/>
                <w:numId w:val="1"/>
              </w:numPr>
            </w:pPr>
            <w:r>
              <w:t>Be</w:t>
            </w:r>
            <w:r w:rsidR="00546F7B">
              <w:t xml:space="preserve"> professional and supportive so that the facts in relation to the incident are </w:t>
            </w:r>
            <w:r>
              <w:t>established</w:t>
            </w:r>
            <w:r w:rsidR="00546F7B">
              <w:t>.</w:t>
            </w:r>
          </w:p>
        </w:tc>
      </w:tr>
      <w:tr w:rsidR="00546F7B" w:rsidTr="00546F7B">
        <w:tc>
          <w:tcPr>
            <w:tcW w:w="4111" w:type="dxa"/>
            <w:shd w:val="clear" w:color="auto" w:fill="auto"/>
          </w:tcPr>
          <w:p w:rsidR="00546F7B" w:rsidRPr="00637678" w:rsidRDefault="00546F7B" w:rsidP="001C26E1">
            <w:pPr>
              <w:pStyle w:val="ListParagraph"/>
              <w:numPr>
                <w:ilvl w:val="0"/>
                <w:numId w:val="1"/>
              </w:numPr>
            </w:pPr>
            <w:r w:rsidRPr="00637678">
              <w:t>Discuss and agree the best way forward</w:t>
            </w:r>
            <w:r>
              <w:t xml:space="preserve"> in relation to managing the </w:t>
            </w:r>
            <w:r w:rsidR="008B1A38">
              <w:t>incident</w:t>
            </w:r>
            <w:r w:rsidR="003849DA">
              <w:t>, the care of the patient</w:t>
            </w:r>
            <w:r w:rsidR="008B1A38">
              <w:t xml:space="preserve"> and the </w:t>
            </w:r>
            <w:r>
              <w:t>open disclosure process.</w:t>
            </w:r>
          </w:p>
        </w:tc>
        <w:tc>
          <w:tcPr>
            <w:tcW w:w="6521" w:type="dxa"/>
          </w:tcPr>
          <w:p w:rsidR="008B1A38" w:rsidRDefault="008B1A38" w:rsidP="008B1A38">
            <w:pPr>
              <w:pStyle w:val="ListParagraph"/>
              <w:numPr>
                <w:ilvl w:val="0"/>
                <w:numId w:val="1"/>
              </w:numPr>
            </w:pPr>
            <w:r>
              <w:t xml:space="preserve">Agree who will meet with the patient/relevant person and lead on the open disclosure discussion. </w:t>
            </w:r>
          </w:p>
          <w:p w:rsidR="00546F7B" w:rsidRDefault="008B1A38" w:rsidP="008B1A38">
            <w:pPr>
              <w:pStyle w:val="ListParagraph"/>
              <w:ind w:left="360"/>
            </w:pPr>
            <w:r>
              <w:t xml:space="preserve">Note: </w:t>
            </w:r>
            <w:r w:rsidR="00546F7B">
              <w:t>The other team or organisation may wish to meet with the patient/relevant person to explain what has happened and to apologise</w:t>
            </w:r>
            <w:r w:rsidR="003849DA">
              <w:t>,</w:t>
            </w:r>
            <w:r w:rsidR="00546F7B">
              <w:t xml:space="preserve"> if appropriate.</w:t>
            </w:r>
          </w:p>
        </w:tc>
      </w:tr>
    </w:tbl>
    <w:p w:rsidR="00546F7B" w:rsidRDefault="00E95AFC" w:rsidP="00C051B5">
      <w:pPr>
        <w:tabs>
          <w:tab w:val="left" w:pos="4052"/>
        </w:tabs>
        <w:spacing w:after="0"/>
        <w:rPr>
          <w:b/>
          <w:sz w:val="28"/>
        </w:rPr>
      </w:pPr>
      <w:r>
        <w:rPr>
          <w:b/>
          <w:noProof/>
          <w:lang w:val="en-IE" w:eastAsia="en-IE"/>
        </w:rPr>
        <mc:AlternateContent>
          <mc:Choice Requires="wps">
            <w:drawing>
              <wp:anchor distT="0" distB="0" distL="114300" distR="114300" simplePos="0" relativeHeight="251663360" behindDoc="0" locked="0" layoutInCell="1" allowOverlap="1" wp14:anchorId="53EB4E86" wp14:editId="05303DEE">
                <wp:simplePos x="0" y="0"/>
                <wp:positionH relativeFrom="column">
                  <wp:posOffset>-661035</wp:posOffset>
                </wp:positionH>
                <wp:positionV relativeFrom="paragraph">
                  <wp:posOffset>103353</wp:posOffset>
                </wp:positionV>
                <wp:extent cx="7931150" cy="63500"/>
                <wp:effectExtent l="0" t="0" r="0" b="0"/>
                <wp:wrapNone/>
                <wp:docPr id="4" name="Rectangle 4"/>
                <wp:cNvGraphicFramePr/>
                <a:graphic xmlns:a="http://schemas.openxmlformats.org/drawingml/2006/main">
                  <a:graphicData uri="http://schemas.microsoft.com/office/word/2010/wordprocessingShape">
                    <wps:wsp>
                      <wps:cNvSpPr/>
                      <wps:spPr>
                        <a:xfrm>
                          <a:off x="0" y="0"/>
                          <a:ext cx="7931150" cy="63500"/>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52.05pt;margin-top:8.15pt;width:624.5pt;height: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YtkwIAAIQFAAAOAAAAZHJzL2Uyb0RvYy54bWysVN9P2zAQfp+0/8Hy+0hTCqwVKaqKmCYh&#10;QMDEs+vYTSTH553dpt1fv7OTpgzQHqa9OD7fd7++3N3l1a4xbKvQ12ALnp+MOFNWQlnbdcF/PN98&#10;+cqZD8KWwoBVBd8rz6/mnz9dtm6mxlCBKRUycmL9rHUFr0JwsyzzslKN8CfglCWlBmxEIBHXWYmi&#10;Je+Nycaj0XnWApYOQSrv6fW6U/J58q+1kuFea68CMwWn3EI6MZ2reGbzSzFbo3BVLfs0xD9k0Yja&#10;UtDB1bUIgm2wfueqqSWCBx1OJDQZaF1LlWqgavLRm2qeKuFUqoXI8W6gyf8/t/Ju+4CsLgs+4cyK&#10;hn7RI5Em7NooNon0tM7PCPXkHrCXPF1jrTuNTfxSFWyXKN0PlKpdYJIeL6aneX5GzEvSnZ+ejRLl&#10;2dHYoQ/fFDQsXgqOFDwRKba3PlBAgh4gMZYHU5c3tTFJwPVqaZBtBf3d8+n0erKIGZPJHzBjI9hC&#10;NOvU8SWLhXWlpFvYGxVxxj4qTYxQ8uOUSepFNcQRUiob8k5ViVJ14amyobbBIuWSHEbPmuIPvnsH&#10;sc/f++6y7PHRVKVWHoxHf0usMx4sUmSwYTBuagv4kQNDVfWRO/yBpI6ayNIKyj31C0I3SN7Jm5r+&#10;263w4UEgTQ79adoG4Z4ObaAtOPQ3zirAXx+9Rzw1NGk5a2kSC+5/bgQqzsx3S60+zSeTOLpJmJxd&#10;jEnA15rVa43dNEugdshp7ziZrhEfzOGqEZoXWhqLGJVUwkqKXXAZ8CAsQ7chaO1ItVgkGI2rE+HW&#10;PjkZnUdWY18+714Eur55A3X9HRymVsze9HCHjZYWFpsAuk4NfuS155tGPTVOv5biLnktJ9Rxec5/&#10;AwAA//8DAFBLAwQUAAYACAAAACEAJTFwluEAAAALAQAADwAAAGRycy9kb3ducmV2LnhtbEyPwUrE&#10;MBCG74LvEEbwIrtpaihamy6rsKAXwSqIt2yTbavNpCbZ3fr2zp70OPN//PNNtZrdyA42xMGjArHM&#10;gFlsvRmwU/D2ulncAItJo9GjR6vgx0ZY1ednlS6NP+KLPTSpY1SCsdQK+pSmkvPY9tbpuPSTRcp2&#10;PjidaAwdN0EfqdyNPM+ygjs9IF3o9WQfett+NXunoDDr3WOU+eb7/fNehqvpQzTPT0pdXszrO2DJ&#10;zukPhpM+qUNNTlu/RxPZqGAhMimIpaS4BnYihJS3wLYKctrwuuL/f6h/AQAA//8DAFBLAQItABQA&#10;BgAIAAAAIQC2gziS/gAAAOEBAAATAAAAAAAAAAAAAAAAAAAAAABbQ29udGVudF9UeXBlc10ueG1s&#10;UEsBAi0AFAAGAAgAAAAhADj9If/WAAAAlAEAAAsAAAAAAAAAAAAAAAAALwEAAF9yZWxzLy5yZWxz&#10;UEsBAi0AFAAGAAgAAAAhAH2I9i2TAgAAhAUAAA4AAAAAAAAAAAAAAAAALgIAAGRycy9lMm9Eb2Mu&#10;eG1sUEsBAi0AFAAGAAgAAAAhACUxcJbhAAAACwEAAA8AAAAAAAAAAAAAAAAA7QQAAGRycy9kb3du&#10;cmV2LnhtbFBLBQYAAAAABAAEAPMAAAD7BQAAAAA=&#10;" fillcolor="#699d4a" stroked="f" strokeweight="2pt"/>
            </w:pict>
          </mc:Fallback>
        </mc:AlternateContent>
      </w:r>
    </w:p>
    <w:p w:rsidR="00C051B5" w:rsidRDefault="00C051B5" w:rsidP="00C051B5">
      <w:pPr>
        <w:rPr>
          <w:b/>
          <w:sz w:val="28"/>
        </w:rPr>
      </w:pPr>
      <w:r w:rsidRPr="00637678">
        <w:rPr>
          <w:b/>
          <w:sz w:val="28"/>
        </w:rPr>
        <w:t>It is our ethical duty and</w:t>
      </w:r>
      <w:r w:rsidR="00223B07">
        <w:rPr>
          <w:b/>
          <w:sz w:val="28"/>
        </w:rPr>
        <w:t xml:space="preserve"> professional</w:t>
      </w:r>
      <w:r w:rsidRPr="00637678">
        <w:rPr>
          <w:b/>
          <w:sz w:val="28"/>
        </w:rPr>
        <w:t xml:space="preserve"> responsibility to ensure that the </w:t>
      </w:r>
      <w:r w:rsidR="003455EC">
        <w:rPr>
          <w:b/>
          <w:sz w:val="28"/>
        </w:rPr>
        <w:t xml:space="preserve">rights of the </w:t>
      </w:r>
      <w:r w:rsidRPr="00637678">
        <w:rPr>
          <w:b/>
          <w:sz w:val="28"/>
        </w:rPr>
        <w:t>patient come first</w:t>
      </w:r>
    </w:p>
    <w:tbl>
      <w:tblPr>
        <w:tblStyle w:val="TableGrid"/>
        <w:tblW w:w="10632" w:type="dxa"/>
        <w:tblInd w:w="108" w:type="dxa"/>
        <w:tblBorders>
          <w:top w:val="single" w:sz="12" w:space="0" w:color="699D4A"/>
          <w:left w:val="single" w:sz="12" w:space="0" w:color="699D4A"/>
          <w:bottom w:val="single" w:sz="12" w:space="0" w:color="699D4A"/>
          <w:right w:val="single" w:sz="12" w:space="0" w:color="699D4A"/>
          <w:insideH w:val="single" w:sz="12" w:space="0" w:color="699D4A"/>
          <w:insideV w:val="single" w:sz="12" w:space="0" w:color="699D4A"/>
        </w:tblBorders>
        <w:tblLook w:val="04A0" w:firstRow="1" w:lastRow="0" w:firstColumn="1" w:lastColumn="0" w:noHBand="0" w:noVBand="1"/>
      </w:tblPr>
      <w:tblGrid>
        <w:gridCol w:w="4111"/>
        <w:gridCol w:w="6521"/>
      </w:tblGrid>
      <w:tr w:rsidR="00E95AFC" w:rsidTr="00223B07">
        <w:tc>
          <w:tcPr>
            <w:tcW w:w="4111" w:type="dxa"/>
            <w:shd w:val="clear" w:color="auto" w:fill="auto"/>
          </w:tcPr>
          <w:p w:rsidR="00E95AFC" w:rsidRDefault="00E95AFC" w:rsidP="003C03EC">
            <w:r>
              <w:t>The rights of the patient</w:t>
            </w:r>
            <w:r w:rsidR="003C03EC">
              <w:t xml:space="preserve"> to have full knowledge of their healthcare must be respected and</w:t>
            </w:r>
            <w:r>
              <w:t xml:space="preserve"> </w:t>
            </w:r>
            <w:r w:rsidR="003C03EC">
              <w:t>met.</w:t>
            </w:r>
          </w:p>
          <w:p w:rsidR="007D7983" w:rsidRDefault="007D7983" w:rsidP="003C03EC"/>
        </w:tc>
        <w:tc>
          <w:tcPr>
            <w:tcW w:w="6521" w:type="dxa"/>
          </w:tcPr>
          <w:p w:rsidR="00E95AFC" w:rsidRDefault="00E95AFC" w:rsidP="001C26E1">
            <w:r>
              <w:t xml:space="preserve">The patient </w:t>
            </w:r>
            <w:r w:rsidR="003C03EC">
              <w:t>must be</w:t>
            </w:r>
            <w:r>
              <w:t xml:space="preserve"> communicated with in an open, honest, timely, compassionate and empathic manner.</w:t>
            </w:r>
            <w:r w:rsidR="003C03EC">
              <w:t xml:space="preserve"> This will help maintain or rebuild their trust and confidence in the service</w:t>
            </w:r>
            <w:r w:rsidR="00516290">
              <w:t>.</w:t>
            </w:r>
          </w:p>
        </w:tc>
      </w:tr>
      <w:tr w:rsidR="003C03EC" w:rsidTr="00223B07">
        <w:tc>
          <w:tcPr>
            <w:tcW w:w="4111" w:type="dxa"/>
            <w:shd w:val="clear" w:color="auto" w:fill="auto"/>
          </w:tcPr>
          <w:p w:rsidR="003C03EC" w:rsidRPr="00637678" w:rsidRDefault="003C03EC" w:rsidP="00E95AFC">
            <w:pPr>
              <w:rPr>
                <w:b/>
                <w:sz w:val="28"/>
              </w:rPr>
            </w:pPr>
            <w:r>
              <w:t>The patient is treated with dignity and respect. The patient must be given all appropriate support</w:t>
            </w:r>
            <w:r w:rsidR="00516290">
              <w:t>.</w:t>
            </w:r>
          </w:p>
          <w:p w:rsidR="003C03EC" w:rsidRDefault="003C03EC" w:rsidP="001C26E1"/>
        </w:tc>
        <w:tc>
          <w:tcPr>
            <w:tcW w:w="6521" w:type="dxa"/>
          </w:tcPr>
          <w:p w:rsidR="003C03EC" w:rsidRDefault="003C03EC" w:rsidP="001C26E1">
            <w:r>
              <w:t>The patient must be given an opportunity to discuss any matters impacting on their care and treatment. This will ensure informed consent so that they are aware of what is happening and may be treated fully with appropriate clinical management of their condition according to their wishes</w:t>
            </w:r>
            <w:r w:rsidR="00516290">
              <w:t>.</w:t>
            </w:r>
          </w:p>
        </w:tc>
      </w:tr>
    </w:tbl>
    <w:p w:rsidR="00910699" w:rsidRDefault="00910699" w:rsidP="00E95AFC"/>
    <w:sectPr w:rsidR="00910699" w:rsidSect="003B6F6F">
      <w:headerReference w:type="default" r:id="rId8"/>
      <w:footerReference w:type="default" r:id="rId9"/>
      <w:pgSz w:w="11906" w:h="16838"/>
      <w:pgMar w:top="720" w:right="720" w:bottom="720" w:left="720" w:header="708" w:footer="8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6BB" w:rsidRDefault="006F16BB" w:rsidP="00F50229">
      <w:pPr>
        <w:spacing w:after="0" w:line="240" w:lineRule="auto"/>
      </w:pPr>
      <w:r>
        <w:separator/>
      </w:r>
    </w:p>
  </w:endnote>
  <w:endnote w:type="continuationSeparator" w:id="0">
    <w:p w:rsidR="006F16BB" w:rsidRDefault="006F16BB" w:rsidP="00F5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29" w:rsidRDefault="00F50229">
    <w:pPr>
      <w:pStyle w:val="Footer"/>
    </w:pPr>
    <w:r>
      <w:rPr>
        <w:b/>
        <w:noProof/>
        <w:lang w:val="en-IE" w:eastAsia="en-IE"/>
      </w:rPr>
      <mc:AlternateContent>
        <mc:Choice Requires="wps">
          <w:drawing>
            <wp:anchor distT="0" distB="0" distL="114300" distR="114300" simplePos="0" relativeHeight="251657216" behindDoc="0" locked="0" layoutInCell="1" allowOverlap="1" wp14:anchorId="3067630D" wp14:editId="094FC570">
              <wp:simplePos x="0" y="0"/>
              <wp:positionH relativeFrom="column">
                <wp:posOffset>-795020</wp:posOffset>
              </wp:positionH>
              <wp:positionV relativeFrom="paragraph">
                <wp:posOffset>58420</wp:posOffset>
              </wp:positionV>
              <wp:extent cx="7899990" cy="63795"/>
              <wp:effectExtent l="0" t="0" r="6350" b="0"/>
              <wp:wrapNone/>
              <wp:docPr id="9" name="Rectangle 9"/>
              <wp:cNvGraphicFramePr/>
              <a:graphic xmlns:a="http://schemas.openxmlformats.org/drawingml/2006/main">
                <a:graphicData uri="http://schemas.microsoft.com/office/word/2010/wordprocessingShape">
                  <wps:wsp>
                    <wps:cNvSpPr/>
                    <wps:spPr>
                      <a:xfrm>
                        <a:off x="0" y="0"/>
                        <a:ext cx="7899990" cy="63795"/>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62.6pt;margin-top:4.6pt;width:622.05pt;height: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NtlQIAAIQFAAAOAAAAZHJzL2Uyb0RvYy54bWysVEtv2zAMvg/YfxB0X51k6cNBnSJo0WFA&#10;0RZth54VWYoFyKImKXGyXz9Kst3Hih2G+SCLIvlR/ETy/GLfarITziswFZ0eTSgRhkOtzKaiP56u&#10;v5xR4gMzNdNgREUPwtOL5edP551diBk0oGvhCIIYv+hsRZsQ7KIoPG9Ey/wRWGFQKcG1LKDoNkXt&#10;WIforS5mk8lJ0YGrrQMuvMfTq6yky4QvpeDhTkovAtEVxbuFtLq0ruNaLM/ZYuOYbRTvr8H+4RYt&#10;UwaDjlBXLDCydeoPqFZxBx5kOOLQFiCl4iLlgNlMJ++yeWyYFSkXJMfbkSb//2D57e7eEVVXtKTE&#10;sBaf6AFJY2ajBSkjPZ31C7R6tPeulzxuY6576dr4xyzIPlF6GCkV+0A4Hp6elfgh8xx1J19Py+OI&#10;Wbw4W+fDNwEtiZuKOgyeiGS7Gx+y6WASY3nQqr5WWifBbdaX2pEdw9c9Kcur+apHf2OmTTQ2EN0y&#10;YjwpYmI5lbQLBy2inTYPQiIjePlZukmqRTHGYZwLE6ZZ1bBa5PDHE/yG6LF6o0fKNAFGZInxR+we&#10;YLDMIAN2vmVvH11FKuXRefK3i2Xn0SNFBhNG51YZcB8BaMyqj5ztB5IyNZGlNdQHrBcHuZG85dcK&#10;3+2G+XDPHHYOvjROg3CHi9TQVRT6HSUNuF8fnUd7LGjUUtJhJ1bU/9wyJyjR3w2Wejmdz2PrJmF+&#10;fDpDwb3WrF9rzLa9BCyHKc4dy9M22gc9bKWD9hmHxipGRRUzHGNXlAc3CJchTwgcO1ysVskM29Wy&#10;cGMeLY/gkdVYl0/7Z+ZsX7wBq/4Whq5li3c1nG2jp4HVNoBUqcBfeO35xlZPhdOPpThLXsvJ6mV4&#10;Ln8DAAD//wMAUEsDBBQABgAIAAAAIQDpliSE4QAAAAoBAAAPAAAAZHJzL2Rvd25yZXYueG1sTI9P&#10;S8NAEMXvgt9hGcGLtJuEWtqYTalCQS+CsVC8bbPTJJqdjbvbNn57pyc9zb/He78pVqPtxQl96Bwp&#10;SKcJCKTamY4aBdv3zWQBIkRNRveOUMEPBliV11eFzo070xueqtgINqGQawVtjEMuZahbtDpM3YDE&#10;t4PzVkcefSON12c2t73MkmQure6IE1o94FOL9Vd1tArmZn14DrNs8737fJz5u+EjrV5flLq9GdcP&#10;ICKO8U8MF3xGh5KZ9u5IJohewSTN7jPWKlhyuQjSdLEEseeON7Is5P8Xyl8AAAD//wMAUEsBAi0A&#10;FAAGAAgAAAAhALaDOJL+AAAA4QEAABMAAAAAAAAAAAAAAAAAAAAAAFtDb250ZW50X1R5cGVzXS54&#10;bWxQSwECLQAUAAYACAAAACEAOP0h/9YAAACUAQAACwAAAAAAAAAAAAAAAAAvAQAAX3JlbHMvLnJl&#10;bHNQSwECLQAUAAYACAAAACEAGs8TbZUCAACEBQAADgAAAAAAAAAAAAAAAAAuAgAAZHJzL2Uyb0Rv&#10;Yy54bWxQSwECLQAUAAYACAAAACEA6ZYkhOEAAAAKAQAADwAAAAAAAAAAAAAAAADvBAAAZHJzL2Rv&#10;d25yZXYueG1sUEsFBgAAAAAEAAQA8wAAAP0FAAAAAA==&#10;" fillcolor="#699d4a" stroked="f" strokeweight="2pt"/>
          </w:pict>
        </mc:Fallback>
      </mc:AlternateContent>
    </w:r>
  </w:p>
  <w:tbl>
    <w:tblPr>
      <w:tblStyle w:val="TableGrid"/>
      <w:tblpPr w:leftFromText="180" w:rightFromText="180" w:vertAnchor="text" w:tblpX="6340" w:tblpY="1"/>
      <w:tblOverlap w:val="never"/>
      <w:tblW w:w="3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8"/>
      <w:gridCol w:w="1842"/>
    </w:tblGrid>
    <w:tr w:rsidR="00EE430B" w:rsidRPr="009F1EE6" w:rsidTr="00E55E21">
      <w:tc>
        <w:tcPr>
          <w:tcW w:w="1668" w:type="dxa"/>
        </w:tcPr>
        <w:p w:rsidR="00EE430B" w:rsidRPr="009B4953" w:rsidRDefault="00EE430B" w:rsidP="00E55E21">
          <w:pPr>
            <w:rPr>
              <w:b/>
              <w:sz w:val="18"/>
              <w:szCs w:val="20"/>
            </w:rPr>
          </w:pPr>
          <w:r w:rsidRPr="009B4953">
            <w:rPr>
              <w:b/>
              <w:sz w:val="18"/>
              <w:szCs w:val="20"/>
            </w:rPr>
            <w:t>Document Ref No</w:t>
          </w:r>
        </w:p>
      </w:tc>
      <w:tc>
        <w:tcPr>
          <w:tcW w:w="1842" w:type="dxa"/>
        </w:tcPr>
        <w:p w:rsidR="00EE430B" w:rsidRPr="009B4953" w:rsidRDefault="00EE430B" w:rsidP="00EE430B">
          <w:pPr>
            <w:rPr>
              <w:b/>
              <w:sz w:val="18"/>
              <w:szCs w:val="20"/>
            </w:rPr>
          </w:pPr>
          <w:r w:rsidRPr="009B4953">
            <w:rPr>
              <w:b/>
              <w:sz w:val="18"/>
              <w:szCs w:val="20"/>
            </w:rPr>
            <w:t>NATOD-</w:t>
          </w:r>
          <w:r>
            <w:rPr>
              <w:b/>
              <w:sz w:val="18"/>
              <w:szCs w:val="20"/>
            </w:rPr>
            <w:t>QRG</w:t>
          </w:r>
          <w:r w:rsidRPr="009B4953">
            <w:rPr>
              <w:b/>
              <w:sz w:val="18"/>
              <w:szCs w:val="20"/>
            </w:rPr>
            <w:t>-00</w:t>
          </w:r>
          <w:r>
            <w:rPr>
              <w:b/>
              <w:sz w:val="18"/>
              <w:szCs w:val="20"/>
            </w:rPr>
            <w:t>1</w:t>
          </w:r>
          <w:r w:rsidRPr="009B4953">
            <w:rPr>
              <w:b/>
              <w:sz w:val="18"/>
              <w:szCs w:val="20"/>
            </w:rPr>
            <w:t>-01</w:t>
          </w:r>
        </w:p>
      </w:tc>
    </w:tr>
    <w:tr w:rsidR="00EE430B" w:rsidRPr="009F1EE6" w:rsidTr="00E55E21">
      <w:tc>
        <w:tcPr>
          <w:tcW w:w="1668" w:type="dxa"/>
        </w:tcPr>
        <w:p w:rsidR="00EE430B" w:rsidRPr="009B4953" w:rsidRDefault="00EE430B" w:rsidP="00E55E21">
          <w:pPr>
            <w:rPr>
              <w:b/>
              <w:sz w:val="18"/>
              <w:szCs w:val="20"/>
            </w:rPr>
          </w:pPr>
          <w:r w:rsidRPr="009B4953">
            <w:rPr>
              <w:b/>
              <w:sz w:val="18"/>
              <w:szCs w:val="20"/>
            </w:rPr>
            <w:t>Approval Date</w:t>
          </w:r>
        </w:p>
      </w:tc>
      <w:tc>
        <w:tcPr>
          <w:tcW w:w="1842" w:type="dxa"/>
        </w:tcPr>
        <w:p w:rsidR="00EE430B" w:rsidRPr="009B4953" w:rsidRDefault="00C10BCC" w:rsidP="00E55E21">
          <w:pPr>
            <w:rPr>
              <w:b/>
              <w:sz w:val="18"/>
              <w:szCs w:val="20"/>
            </w:rPr>
          </w:pPr>
          <w:r>
            <w:rPr>
              <w:b/>
              <w:sz w:val="18"/>
              <w:szCs w:val="20"/>
            </w:rPr>
            <w:t>3</w:t>
          </w:r>
          <w:r w:rsidRPr="00C10BCC">
            <w:rPr>
              <w:b/>
              <w:sz w:val="18"/>
              <w:szCs w:val="20"/>
              <w:vertAlign w:val="superscript"/>
            </w:rPr>
            <w:t>rd</w:t>
          </w:r>
          <w:r>
            <w:rPr>
              <w:b/>
              <w:sz w:val="18"/>
              <w:szCs w:val="20"/>
            </w:rPr>
            <w:t xml:space="preserve"> December 2020</w:t>
          </w:r>
        </w:p>
      </w:tc>
    </w:tr>
    <w:tr w:rsidR="00516290" w:rsidRPr="009F1EE6" w:rsidTr="00E55E21">
      <w:tc>
        <w:tcPr>
          <w:tcW w:w="1668" w:type="dxa"/>
        </w:tcPr>
        <w:p w:rsidR="00516290" w:rsidRPr="009B4953" w:rsidRDefault="00516290" w:rsidP="00E55E21">
          <w:pPr>
            <w:rPr>
              <w:b/>
              <w:sz w:val="18"/>
              <w:szCs w:val="20"/>
            </w:rPr>
          </w:pPr>
          <w:r>
            <w:rPr>
              <w:b/>
              <w:sz w:val="18"/>
              <w:szCs w:val="20"/>
            </w:rPr>
            <w:t>Published Date</w:t>
          </w:r>
        </w:p>
      </w:tc>
      <w:tc>
        <w:tcPr>
          <w:tcW w:w="1842" w:type="dxa"/>
        </w:tcPr>
        <w:p w:rsidR="00516290" w:rsidRDefault="00C10BCC" w:rsidP="00E55E21">
          <w:pPr>
            <w:rPr>
              <w:b/>
              <w:sz w:val="18"/>
              <w:szCs w:val="20"/>
            </w:rPr>
          </w:pPr>
          <w:r>
            <w:rPr>
              <w:b/>
              <w:sz w:val="18"/>
              <w:szCs w:val="20"/>
            </w:rPr>
            <w:t>3</w:t>
          </w:r>
          <w:r w:rsidRPr="00C10BCC">
            <w:rPr>
              <w:b/>
              <w:sz w:val="18"/>
              <w:szCs w:val="20"/>
              <w:vertAlign w:val="superscript"/>
            </w:rPr>
            <w:t>rd</w:t>
          </w:r>
          <w:r>
            <w:rPr>
              <w:b/>
              <w:sz w:val="18"/>
              <w:szCs w:val="20"/>
            </w:rPr>
            <w:t xml:space="preserve"> December 2020</w:t>
          </w:r>
        </w:p>
      </w:tc>
    </w:tr>
  </w:tbl>
  <w:p w:rsidR="00F50229" w:rsidRDefault="003B6F6F">
    <w:pPr>
      <w:pStyle w:val="Footer"/>
    </w:pPr>
    <w:r>
      <w:rPr>
        <w:b/>
        <w:noProof/>
        <w:sz w:val="32"/>
        <w:szCs w:val="32"/>
        <w:lang w:val="en-IE" w:eastAsia="en-IE"/>
      </w:rPr>
      <w:drawing>
        <wp:anchor distT="0" distB="0" distL="114300" distR="114300" simplePos="0" relativeHeight="251656192" behindDoc="0" locked="0" layoutInCell="1" allowOverlap="1" wp14:anchorId="545619C0" wp14:editId="0626C035">
          <wp:simplePos x="0" y="0"/>
          <wp:positionH relativeFrom="column">
            <wp:posOffset>-26955</wp:posOffset>
          </wp:positionH>
          <wp:positionV relativeFrom="paragraph">
            <wp:posOffset>12065</wp:posOffset>
          </wp:positionV>
          <wp:extent cx="2009140" cy="478790"/>
          <wp:effectExtent l="0" t="0" r="0" b="0"/>
          <wp:wrapNone/>
          <wp:docPr id="10" name="Picture 10" descr="Z:\1. NATIONAL OPEN DISCLOSURE OFFICE\Office Management\Branding\NQIT\NQIT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NATIONAL OPEN DISCLOSURE OFFICE\Office Management\Branding\NQIT\NQIT Logo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140" cy="478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6BB" w:rsidRDefault="006F16BB" w:rsidP="00F50229">
      <w:pPr>
        <w:spacing w:after="0" w:line="240" w:lineRule="auto"/>
      </w:pPr>
      <w:r>
        <w:separator/>
      </w:r>
    </w:p>
  </w:footnote>
  <w:footnote w:type="continuationSeparator" w:id="0">
    <w:p w:rsidR="006F16BB" w:rsidRDefault="006F16BB" w:rsidP="00F50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29" w:rsidRDefault="00F44F95">
    <w:pPr>
      <w:pStyle w:val="Header"/>
    </w:pPr>
    <w:r>
      <w:rPr>
        <w:noProof/>
        <w:lang w:val="en-IE" w:eastAsia="en-IE"/>
      </w:rPr>
      <w:drawing>
        <wp:anchor distT="0" distB="0" distL="114300" distR="114300" simplePos="0" relativeHeight="251658240" behindDoc="0" locked="0" layoutInCell="1" allowOverlap="1" wp14:anchorId="043363C6" wp14:editId="42875B0D">
          <wp:simplePos x="0" y="0"/>
          <wp:positionH relativeFrom="column">
            <wp:posOffset>-257175</wp:posOffset>
          </wp:positionH>
          <wp:positionV relativeFrom="paragraph">
            <wp:posOffset>-316230</wp:posOffset>
          </wp:positionV>
          <wp:extent cx="1685925" cy="571500"/>
          <wp:effectExtent l="0" t="0" r="0" b="0"/>
          <wp:wrapNone/>
          <wp:docPr id="8" name="Picture 8" descr="Z:\1. NATIONAL OPEN DISCLOSURE OFFICE\Office Management\Branding\1. Open Disclosure Office\Final proofs returned\Logo text to righ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NATIONAL OPEN DISCLOSURE OFFICE\Office Management\Branding\1. Open Disclosure Office\Final proofs returned\Logo text to right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229" w:rsidRDefault="00F50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B44"/>
    <w:multiLevelType w:val="hybridMultilevel"/>
    <w:tmpl w:val="02BC324C"/>
    <w:lvl w:ilvl="0" w:tplc="03648050">
      <w:start w:val="1"/>
      <w:numFmt w:val="decimal"/>
      <w:lvlText w:val="%1."/>
      <w:lvlJc w:val="left"/>
      <w:pPr>
        <w:ind w:left="360" w:hanging="360"/>
      </w:pPr>
      <w:rPr>
        <w:rFonts w:hint="default"/>
        <w:b/>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8F055D5"/>
    <w:multiLevelType w:val="hybridMultilevel"/>
    <w:tmpl w:val="CADC08C0"/>
    <w:lvl w:ilvl="0" w:tplc="20108500">
      <w:start w:val="1"/>
      <w:numFmt w:val="decimal"/>
      <w:lvlText w:val="%1."/>
      <w:lvlJc w:val="left"/>
      <w:pPr>
        <w:ind w:left="360" w:hanging="360"/>
      </w:pPr>
      <w:rPr>
        <w:rFonts w:hint="default"/>
        <w:b/>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6B7B13E6"/>
    <w:multiLevelType w:val="hybridMultilevel"/>
    <w:tmpl w:val="158AB2B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741D5E75"/>
    <w:multiLevelType w:val="hybridMultilevel"/>
    <w:tmpl w:val="07D4A3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6C"/>
    <w:rsid w:val="000169A1"/>
    <w:rsid w:val="000B2109"/>
    <w:rsid w:val="00167910"/>
    <w:rsid w:val="001C71A6"/>
    <w:rsid w:val="00223B07"/>
    <w:rsid w:val="0025320D"/>
    <w:rsid w:val="002C6D92"/>
    <w:rsid w:val="002D1CCC"/>
    <w:rsid w:val="002F34D2"/>
    <w:rsid w:val="00306C97"/>
    <w:rsid w:val="003455EC"/>
    <w:rsid w:val="003752B6"/>
    <w:rsid w:val="003849DA"/>
    <w:rsid w:val="003B6F6F"/>
    <w:rsid w:val="003C03EC"/>
    <w:rsid w:val="00410569"/>
    <w:rsid w:val="004273F4"/>
    <w:rsid w:val="00464497"/>
    <w:rsid w:val="00516290"/>
    <w:rsid w:val="00546F7B"/>
    <w:rsid w:val="00617CED"/>
    <w:rsid w:val="00637678"/>
    <w:rsid w:val="0067170D"/>
    <w:rsid w:val="006F16BB"/>
    <w:rsid w:val="007D7983"/>
    <w:rsid w:val="0082531D"/>
    <w:rsid w:val="0087581B"/>
    <w:rsid w:val="008B1A38"/>
    <w:rsid w:val="00910699"/>
    <w:rsid w:val="00972967"/>
    <w:rsid w:val="009F011F"/>
    <w:rsid w:val="00AB6DD3"/>
    <w:rsid w:val="00AE367C"/>
    <w:rsid w:val="00C051B5"/>
    <w:rsid w:val="00C10BCC"/>
    <w:rsid w:val="00C73272"/>
    <w:rsid w:val="00CB4207"/>
    <w:rsid w:val="00DB6159"/>
    <w:rsid w:val="00E54B6C"/>
    <w:rsid w:val="00E95AFC"/>
    <w:rsid w:val="00EC2A43"/>
    <w:rsid w:val="00EC7928"/>
    <w:rsid w:val="00EE430B"/>
    <w:rsid w:val="00F02F05"/>
    <w:rsid w:val="00F44F95"/>
    <w:rsid w:val="00F50229"/>
    <w:rsid w:val="00F653E4"/>
    <w:rsid w:val="00FD32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B6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styleId="TableGrid">
    <w:name w:val="Table Grid"/>
    <w:basedOn w:val="TableNormal"/>
    <w:uiPriority w:val="59"/>
    <w:rsid w:val="00875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0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229"/>
    <w:rPr>
      <w:lang w:val="en-GB"/>
    </w:rPr>
  </w:style>
  <w:style w:type="paragraph" w:styleId="Footer">
    <w:name w:val="footer"/>
    <w:basedOn w:val="Normal"/>
    <w:link w:val="FooterChar"/>
    <w:uiPriority w:val="99"/>
    <w:unhideWhenUsed/>
    <w:rsid w:val="00F50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229"/>
    <w:rPr>
      <w:lang w:val="en-GB"/>
    </w:rPr>
  </w:style>
  <w:style w:type="paragraph" w:styleId="BalloonText">
    <w:name w:val="Balloon Text"/>
    <w:basedOn w:val="Normal"/>
    <w:link w:val="BalloonTextChar"/>
    <w:uiPriority w:val="99"/>
    <w:semiHidden/>
    <w:unhideWhenUsed/>
    <w:rsid w:val="00F50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229"/>
    <w:rPr>
      <w:rFonts w:ascii="Tahoma" w:hAnsi="Tahoma" w:cs="Tahoma"/>
      <w:sz w:val="16"/>
      <w:szCs w:val="16"/>
      <w:lang w:val="en-GB"/>
    </w:rPr>
  </w:style>
  <w:style w:type="paragraph" w:styleId="ListParagraph">
    <w:name w:val="List Paragraph"/>
    <w:basedOn w:val="Normal"/>
    <w:uiPriority w:val="34"/>
    <w:qFormat/>
    <w:rsid w:val="00EE4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B6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styleId="TableGrid">
    <w:name w:val="Table Grid"/>
    <w:basedOn w:val="TableNormal"/>
    <w:uiPriority w:val="59"/>
    <w:rsid w:val="00875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0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229"/>
    <w:rPr>
      <w:lang w:val="en-GB"/>
    </w:rPr>
  </w:style>
  <w:style w:type="paragraph" w:styleId="Footer">
    <w:name w:val="footer"/>
    <w:basedOn w:val="Normal"/>
    <w:link w:val="FooterChar"/>
    <w:uiPriority w:val="99"/>
    <w:unhideWhenUsed/>
    <w:rsid w:val="00F50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229"/>
    <w:rPr>
      <w:lang w:val="en-GB"/>
    </w:rPr>
  </w:style>
  <w:style w:type="paragraph" w:styleId="BalloonText">
    <w:name w:val="Balloon Text"/>
    <w:basedOn w:val="Normal"/>
    <w:link w:val="BalloonTextChar"/>
    <w:uiPriority w:val="99"/>
    <w:semiHidden/>
    <w:unhideWhenUsed/>
    <w:rsid w:val="00F50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229"/>
    <w:rPr>
      <w:rFonts w:ascii="Tahoma" w:hAnsi="Tahoma" w:cs="Tahoma"/>
      <w:sz w:val="16"/>
      <w:szCs w:val="16"/>
      <w:lang w:val="en-GB"/>
    </w:rPr>
  </w:style>
  <w:style w:type="paragraph" w:styleId="ListParagraph">
    <w:name w:val="List Paragraph"/>
    <w:basedOn w:val="Normal"/>
    <w:uiPriority w:val="34"/>
    <w:qFormat/>
    <w:rsid w:val="00EE4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 Catherine</dc:creator>
  <cp:lastModifiedBy>Kelly McDyer</cp:lastModifiedBy>
  <cp:revision>3</cp:revision>
  <dcterms:created xsi:type="dcterms:W3CDTF">2020-10-19T11:41:00Z</dcterms:created>
  <dcterms:modified xsi:type="dcterms:W3CDTF">2020-12-15T13:46:00Z</dcterms:modified>
</cp:coreProperties>
</file>