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2311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212807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098143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B0D6C2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2BAE23" w14:textId="295BE070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C45081" w14:textId="4C51B40C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512BE6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0DD186" w14:textId="37B4E3BC" w:rsidR="00D66788" w:rsidRDefault="00D66788" w:rsidP="00D66788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14:paraId="022BD9A6" w14:textId="44BDFFC1" w:rsidR="00D66788" w:rsidRDefault="00D66788" w:rsidP="00D66788">
      <w:pPr>
        <w:spacing w:line="1595" w:lineRule="exact"/>
        <w:ind w:left="2985" w:right="703" w:firstLine="1755"/>
        <w:jc w:val="right"/>
        <w:rPr>
          <w:rFonts w:ascii="Arial" w:hAnsi="Arial" w:cs="Arial"/>
          <w:color w:val="2881C4"/>
          <w:sz w:val="90"/>
          <w:szCs w:val="9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0574726A" wp14:editId="0B87F4DD">
            <wp:simplePos x="0" y="0"/>
            <wp:positionH relativeFrom="column">
              <wp:posOffset>38735</wp:posOffset>
            </wp:positionH>
            <wp:positionV relativeFrom="paragraph">
              <wp:posOffset>5080</wp:posOffset>
            </wp:positionV>
            <wp:extent cx="1383585" cy="1155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8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F516E" w14:textId="77777777" w:rsidR="00D66788" w:rsidRDefault="00D66788" w:rsidP="00D66788">
      <w:pPr>
        <w:ind w:left="2982" w:right="703" w:firstLine="1758"/>
        <w:jc w:val="right"/>
        <w:rPr>
          <w:rFonts w:ascii="Arial" w:hAnsi="Arial" w:cs="Arial"/>
          <w:color w:val="2881C4"/>
          <w:sz w:val="56"/>
          <w:szCs w:val="56"/>
        </w:rPr>
      </w:pPr>
    </w:p>
    <w:p w14:paraId="67497238" w14:textId="31155C05" w:rsidR="00D66788" w:rsidRPr="00D66788" w:rsidRDefault="00D66788" w:rsidP="00D66788">
      <w:pPr>
        <w:ind w:right="95"/>
        <w:rPr>
          <w:rFonts w:ascii="Times New Roman" w:hAnsi="Times New Roman" w:cs="Times New Roman"/>
          <w:color w:val="010302"/>
          <w:sz w:val="52"/>
          <w:szCs w:val="52"/>
        </w:rPr>
      </w:pPr>
      <w:r w:rsidRPr="00D66788">
        <w:rPr>
          <w:rFonts w:ascii="Arial" w:hAnsi="Arial" w:cs="Arial"/>
          <w:color w:val="2881C4"/>
          <w:sz w:val="52"/>
          <w:szCs w:val="52"/>
        </w:rPr>
        <w:t xml:space="preserve">GP Access to Diagnostics </w:t>
      </w:r>
      <w:r w:rsidRPr="00D66788">
        <w:rPr>
          <w:rFonts w:ascii="Arial" w:hAnsi="Arial" w:cs="Arial"/>
          <w:color w:val="2881C4"/>
          <w:spacing w:val="60"/>
          <w:sz w:val="52"/>
          <w:szCs w:val="52"/>
        </w:rPr>
        <w:t>-</w:t>
      </w:r>
      <w:r w:rsidRPr="00D66788">
        <w:rPr>
          <w:rFonts w:ascii="Arial" w:hAnsi="Arial" w:cs="Arial"/>
          <w:color w:val="2881C4"/>
          <w:sz w:val="52"/>
          <w:szCs w:val="52"/>
        </w:rPr>
        <w:t xml:space="preserve">Radiology </w:t>
      </w:r>
      <w:r w:rsidRPr="00D66788">
        <w:rPr>
          <w:rFonts w:ascii="Arial" w:hAnsi="Arial" w:cs="Arial"/>
          <w:i/>
          <w:iCs/>
          <w:color w:val="2881C4"/>
          <w:sz w:val="52"/>
          <w:szCs w:val="52"/>
        </w:rPr>
        <w:t>Referral Overview</w:t>
      </w:r>
      <w:r w:rsidRPr="00D66788">
        <w:rPr>
          <w:rFonts w:ascii="Arial" w:hAnsi="Arial" w:cs="Arial"/>
          <w:color w:val="2881C4"/>
          <w:sz w:val="52"/>
          <w:szCs w:val="52"/>
        </w:rPr>
        <w:t xml:space="preserve">  </w:t>
      </w:r>
    </w:p>
    <w:p w14:paraId="07AFC20A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B3AF21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52795B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064EFB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10D27D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68076A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F126AE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65AB65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6CEE6D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038FEF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B59079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746B30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410C99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8CFC3C" w14:textId="77777777" w:rsidR="00D66788" w:rsidRDefault="00D66788" w:rsidP="00D66788">
      <w:pPr>
        <w:spacing w:before="580" w:line="183" w:lineRule="exact"/>
        <w:ind w:left="560"/>
        <w:rPr>
          <w:rFonts w:ascii="Times New Roman" w:hAnsi="Times New Roman" w:cs="Times New Roman"/>
          <w:color w:val="010302"/>
        </w:rPr>
      </w:pPr>
    </w:p>
    <w:p w14:paraId="3185C3DB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B772CF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BC6FA0" w14:textId="77777777" w:rsidR="00D66788" w:rsidRDefault="00D66788" w:rsidP="00D66788">
      <w:pPr>
        <w:spacing w:after="274"/>
        <w:rPr>
          <w:rFonts w:ascii="Times New Roman" w:hAnsi="Times New Roman"/>
          <w:color w:val="000000" w:themeColor="text1"/>
          <w:sz w:val="24"/>
          <w:szCs w:val="24"/>
        </w:rPr>
      </w:pPr>
    </w:p>
    <w:p w14:paraId="4D078310" w14:textId="77777777" w:rsidR="00D66788" w:rsidRDefault="00D66788" w:rsidP="00D66788">
      <w:pPr>
        <w:spacing w:line="245" w:lineRule="exact"/>
        <w:ind w:left="920"/>
        <w:rPr>
          <w:rFonts w:ascii="Arial" w:hAnsi="Arial" w:cs="Arial"/>
          <w:color w:val="000000"/>
        </w:rPr>
      </w:pPr>
    </w:p>
    <w:p w14:paraId="75E31F22" w14:textId="77777777" w:rsidR="00D66788" w:rsidRDefault="00D66788" w:rsidP="00D66788">
      <w:pPr>
        <w:spacing w:line="245" w:lineRule="exact"/>
        <w:ind w:left="920"/>
        <w:rPr>
          <w:rFonts w:ascii="Arial" w:hAnsi="Arial" w:cs="Arial"/>
          <w:color w:val="000000"/>
        </w:rPr>
      </w:pPr>
    </w:p>
    <w:p w14:paraId="7A6A9725" w14:textId="77777777" w:rsidR="00D66788" w:rsidRDefault="00D66788" w:rsidP="00D66788">
      <w:pPr>
        <w:spacing w:line="245" w:lineRule="exact"/>
        <w:ind w:left="920"/>
        <w:rPr>
          <w:rFonts w:ascii="Arial" w:hAnsi="Arial" w:cs="Arial"/>
          <w:color w:val="000000"/>
        </w:rPr>
      </w:pPr>
    </w:p>
    <w:p w14:paraId="2A02F5DD" w14:textId="77777777" w:rsidR="00D66788" w:rsidRDefault="00D66788" w:rsidP="00D66788">
      <w:pPr>
        <w:spacing w:line="245" w:lineRule="exact"/>
        <w:ind w:left="920"/>
        <w:rPr>
          <w:rFonts w:ascii="Arial" w:hAnsi="Arial" w:cs="Arial"/>
          <w:color w:val="000000"/>
        </w:rPr>
      </w:pPr>
    </w:p>
    <w:p w14:paraId="430D3AB4" w14:textId="77777777" w:rsidR="00D66788" w:rsidRDefault="00D66788" w:rsidP="00D66788">
      <w:pPr>
        <w:spacing w:line="245" w:lineRule="exact"/>
        <w:ind w:left="920"/>
        <w:rPr>
          <w:rFonts w:ascii="Arial" w:hAnsi="Arial" w:cs="Arial"/>
          <w:color w:val="000000"/>
        </w:rPr>
      </w:pPr>
    </w:p>
    <w:p w14:paraId="10E8BC0C" w14:textId="77777777" w:rsidR="00D66788" w:rsidRDefault="00D66788" w:rsidP="00D66788">
      <w:pPr>
        <w:spacing w:line="245" w:lineRule="exact"/>
        <w:ind w:left="920"/>
        <w:rPr>
          <w:rFonts w:ascii="Arial" w:hAnsi="Arial" w:cs="Arial"/>
          <w:color w:val="000000"/>
        </w:rPr>
      </w:pPr>
    </w:p>
    <w:p w14:paraId="7747FA94" w14:textId="77777777" w:rsidR="00D66788" w:rsidRDefault="00D66788">
      <w:pPr>
        <w:widowControl/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B1333DA" w14:textId="4B82E2EA" w:rsidR="00D66788" w:rsidRDefault="00D66788" w:rsidP="00D66788">
      <w:pPr>
        <w:spacing w:line="245" w:lineRule="exact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lastRenderedPageBreak/>
        <w:t xml:space="preserve">Please refer to the GP Access to Diagnostics FAQ document for further information.  </w:t>
      </w:r>
    </w:p>
    <w:p w14:paraId="783AA500" w14:textId="77777777" w:rsidR="00D66788" w:rsidRDefault="00D66788" w:rsidP="00D66788">
      <w:pPr>
        <w:spacing w:after="13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D8D94C" w14:textId="77777777" w:rsidR="00D66788" w:rsidRDefault="00D66788" w:rsidP="00D66788">
      <w:pPr>
        <w:spacing w:line="357" w:lineRule="exact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155CC"/>
          <w:sz w:val="32"/>
          <w:szCs w:val="32"/>
        </w:rPr>
        <w:t>1</w:t>
      </w:r>
      <w:r>
        <w:rPr>
          <w:rFonts w:ascii="Arial" w:hAnsi="Arial" w:cs="Arial"/>
          <w:color w:val="1155CC"/>
          <w:spacing w:val="2"/>
          <w:sz w:val="32"/>
          <w:szCs w:val="32"/>
        </w:rPr>
        <w:t xml:space="preserve">. </w:t>
      </w:r>
      <w:r>
        <w:rPr>
          <w:rFonts w:ascii="Arial" w:hAnsi="Arial" w:cs="Arial"/>
          <w:color w:val="1155CC"/>
          <w:sz w:val="32"/>
          <w:szCs w:val="32"/>
        </w:rPr>
        <w:t xml:space="preserve">High-level GP Referral Pathway  </w:t>
      </w:r>
    </w:p>
    <w:p w14:paraId="164B5FA9" w14:textId="433F9F86" w:rsidR="00D66788" w:rsidRDefault="00D66788" w:rsidP="00D66788">
      <w:pPr>
        <w:spacing w:before="187" w:line="375" w:lineRule="exact"/>
        <w:ind w:right="-4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refer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Radiology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Diagnostics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Referral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Pathway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 xml:space="preserve">detailed process from pre scan to post scan. The image below is a high-level overview of the GP referral pathway process before making a referral:  </w:t>
      </w:r>
    </w:p>
    <w:p w14:paraId="7AD7BAA8" w14:textId="77777777" w:rsidR="00D66788" w:rsidRPr="00D66788" w:rsidRDefault="00D66788" w:rsidP="00D66788">
      <w:pPr>
        <w:spacing w:before="187" w:line="375" w:lineRule="exact"/>
        <w:ind w:right="813"/>
        <w:jc w:val="both"/>
        <w:rPr>
          <w:rFonts w:ascii="Arial" w:hAnsi="Arial" w:cs="Arial"/>
          <w:color w:val="000000"/>
        </w:rPr>
      </w:pPr>
    </w:p>
    <w:p w14:paraId="64A180CD" w14:textId="6F11C262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01F3D098" wp14:editId="3F60E965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5676900" cy="1200883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20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73156" w14:textId="77777777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8C6332" w14:textId="52039902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C63C6D" w14:textId="77777777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08CB1C" w14:textId="77777777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64BCC6" w14:textId="77777777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AADC55" w14:textId="77777777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950421" w14:textId="77777777" w:rsidR="00D66788" w:rsidRDefault="00D66788" w:rsidP="00D6678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CC690A" w14:textId="77777777" w:rsidR="00D66788" w:rsidRDefault="00D66788" w:rsidP="00D66788">
      <w:pPr>
        <w:spacing w:after="18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E672A2" w14:textId="77777777" w:rsidR="00D66788" w:rsidRDefault="00D66788" w:rsidP="00D66788">
      <w:pPr>
        <w:spacing w:line="357" w:lineRule="exact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155CC"/>
          <w:sz w:val="32"/>
          <w:szCs w:val="32"/>
        </w:rPr>
        <w:t>2</w:t>
      </w:r>
      <w:r>
        <w:rPr>
          <w:rFonts w:ascii="Arial" w:hAnsi="Arial" w:cs="Arial"/>
          <w:color w:val="1155CC"/>
          <w:spacing w:val="2"/>
          <w:sz w:val="32"/>
          <w:szCs w:val="32"/>
        </w:rPr>
        <w:t xml:space="preserve">. </w:t>
      </w:r>
      <w:r>
        <w:rPr>
          <w:rFonts w:ascii="Arial" w:hAnsi="Arial" w:cs="Arial"/>
          <w:color w:val="1155CC"/>
          <w:sz w:val="32"/>
          <w:szCs w:val="32"/>
        </w:rPr>
        <w:t xml:space="preserve">How do I make a referral?  </w:t>
      </w:r>
    </w:p>
    <w:p w14:paraId="41C88E10" w14:textId="77777777" w:rsidR="00D66788" w:rsidRDefault="00D66788" w:rsidP="00D66788">
      <w:pPr>
        <w:spacing w:before="187" w:line="375" w:lineRule="exact"/>
        <w:ind w:right="95"/>
        <w:jc w:val="both"/>
        <w:rPr>
          <w:rFonts w:ascii="Times New Roman" w:hAnsi="Times New Roman" w:cs="Times New Roman"/>
          <w:color w:val="010302"/>
        </w:rPr>
      </w:pPr>
      <w:r w:rsidRPr="348BA8A2">
        <w:rPr>
          <w:rFonts w:ascii="Arial" w:hAnsi="Arial" w:cs="Arial"/>
          <w:color w:val="000000" w:themeColor="text1"/>
        </w:rPr>
        <w:t xml:space="preserve">You can make a referral to all private providers (except Global Diagnostics) by submitting an e-referral using the General Referral Form on Healthlink. Healthlink can be accessed via the Healthlink web portal or via your accredited practice management software.   </w:t>
      </w:r>
    </w:p>
    <w:p w14:paraId="45FED427" w14:textId="77777777" w:rsidR="00D66788" w:rsidRDefault="00D66788" w:rsidP="00D66788">
      <w:pPr>
        <w:spacing w:after="13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1DBBED" w14:textId="43B3C482" w:rsidR="00D66788" w:rsidRDefault="00D66788" w:rsidP="00D66788">
      <w:pPr>
        <w:spacing w:line="375" w:lineRule="exact"/>
        <w:ind w:right="-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If you are referring to Global Diagnostics, you can email referrals to </w:t>
      </w:r>
      <w:hyperlink r:id="rId13" w:history="1">
        <w:r w:rsidRPr="00D93731">
          <w:rPr>
            <w:rStyle w:val="Hyperlink"/>
            <w:rFonts w:ascii="Arial" w:hAnsi="Arial" w:cs="Arial"/>
          </w:rPr>
          <w:t>​hse@globaldiagnostics.ie​</w:t>
        </w:r>
      </w:hyperlink>
      <w:r>
        <w:rPr>
          <w:rFonts w:ascii="Arial" w:hAnsi="Arial" w:cs="Arial"/>
          <w:color w:val="000000"/>
        </w:rPr>
        <w:t xml:space="preserve"> or use the secure ‘fax to email’ line at 01 5313425.  </w:t>
      </w:r>
    </w:p>
    <w:p w14:paraId="7BBF522E" w14:textId="77777777" w:rsidR="00D66788" w:rsidRDefault="00D66788" w:rsidP="00D6678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C09BCE" w14:textId="77777777" w:rsidR="00D66788" w:rsidRDefault="00D66788" w:rsidP="00D66788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792619A8" w14:textId="77777777" w:rsidR="00D66788" w:rsidRDefault="00D66788" w:rsidP="00D66788">
      <w:pPr>
        <w:spacing w:line="3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155CC"/>
          <w:sz w:val="32"/>
          <w:szCs w:val="32"/>
        </w:rPr>
        <w:t>3</w:t>
      </w:r>
      <w:r>
        <w:rPr>
          <w:rFonts w:ascii="Arial" w:hAnsi="Arial" w:cs="Arial"/>
          <w:color w:val="1155CC"/>
          <w:spacing w:val="2"/>
          <w:sz w:val="32"/>
          <w:szCs w:val="32"/>
        </w:rPr>
        <w:t xml:space="preserve">. </w:t>
      </w:r>
      <w:r>
        <w:rPr>
          <w:rFonts w:ascii="Arial" w:hAnsi="Arial" w:cs="Arial"/>
          <w:color w:val="1155CC"/>
          <w:sz w:val="32"/>
          <w:szCs w:val="32"/>
        </w:rPr>
        <w:t xml:space="preserve">What information do I need to include on the referral?  </w:t>
      </w:r>
    </w:p>
    <w:p w14:paraId="704142BC" w14:textId="77777777" w:rsidR="0094762A" w:rsidRDefault="00D66788" w:rsidP="00D66788">
      <w:pPr>
        <w:spacing w:before="301" w:line="382" w:lineRule="exact"/>
        <w:ind w:right="-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filling out the General Referral Form via Healthlink, all required fields should be filled out.  </w:t>
      </w:r>
    </w:p>
    <w:p w14:paraId="20DC58FB" w14:textId="1FFFE3B5" w:rsidR="0094762A" w:rsidRPr="004F1286" w:rsidRDefault="004F1286" w:rsidP="00D66788">
      <w:pPr>
        <w:spacing w:before="301" w:line="382" w:lineRule="exact"/>
        <w:ind w:right="-46"/>
        <w:rPr>
          <w:rFonts w:ascii="Arial" w:hAnsi="Arial" w:cs="Arial"/>
          <w:b/>
          <w:bCs/>
          <w:color w:val="000000"/>
          <w:u w:val="single"/>
        </w:rPr>
      </w:pPr>
      <w:r w:rsidRPr="004F1286">
        <w:rPr>
          <w:rFonts w:ascii="Arial" w:hAnsi="Arial" w:cs="Arial"/>
          <w:b/>
          <w:bCs/>
          <w:color w:val="000000"/>
          <w:highlight w:val="yellow"/>
          <w:u w:val="single"/>
        </w:rPr>
        <w:t>Please note the new code: ‘GP Access to Community Diagnostics’ which is to be used for referrals.</w:t>
      </w:r>
    </w:p>
    <w:p w14:paraId="45B32A8E" w14:textId="12AA0DB3" w:rsidR="00D66788" w:rsidRDefault="00D66788" w:rsidP="00D66788">
      <w:pPr>
        <w:spacing w:before="301" w:line="382" w:lineRule="exact"/>
        <w:ind w:right="-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must also include the following information specified below in the free text box on the General Referral Form: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300C7137" w14:textId="73EE1EC5" w:rsidR="00D66788" w:rsidRDefault="00D66788">
      <w:pPr>
        <w:widowControl/>
        <w:spacing w:after="160" w:line="259" w:lineRule="auto"/>
      </w:pPr>
      <w:r>
        <w:br w:type="page"/>
      </w:r>
    </w:p>
    <w:tbl>
      <w:tblPr>
        <w:tblStyle w:val="TableGrid"/>
        <w:tblpPr w:vertAnchor="text" w:horzAnchor="page" w:tblpX="1440" w:tblpY="-270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689"/>
        <w:gridCol w:w="4976"/>
        <w:gridCol w:w="2835"/>
      </w:tblGrid>
      <w:tr w:rsidR="00D66788" w14:paraId="182755F7" w14:textId="77777777" w:rsidTr="422BC619">
        <w:trPr>
          <w:trHeight w:hRule="exact" w:val="715"/>
        </w:trPr>
        <w:tc>
          <w:tcPr>
            <w:tcW w:w="689" w:type="dxa"/>
            <w:shd w:val="clear" w:color="auto" w:fill="00594D"/>
          </w:tcPr>
          <w:p w14:paraId="4F998C77" w14:textId="77777777" w:rsidR="00D66788" w:rsidRDefault="00D66788" w:rsidP="00460F96">
            <w:pPr>
              <w:spacing w:before="251" w:after="238"/>
              <w:ind w:left="2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 xml:space="preserve">#  </w:t>
            </w:r>
          </w:p>
        </w:tc>
        <w:tc>
          <w:tcPr>
            <w:tcW w:w="4976" w:type="dxa"/>
            <w:shd w:val="clear" w:color="auto" w:fill="00594D"/>
          </w:tcPr>
          <w:p w14:paraId="50AE8DD7" w14:textId="77777777" w:rsidR="00D66788" w:rsidRDefault="00D66788" w:rsidP="00460F96">
            <w:pPr>
              <w:spacing w:before="251" w:after="238"/>
              <w:ind w:left="225" w:right="-18"/>
              <w:rPr>
                <w:rFonts w:ascii="Times New Roman" w:hAnsi="Times New Roman" w:cs="Times New Roman"/>
                <w:color w:val="010302"/>
              </w:rPr>
            </w:pPr>
            <w:r w:rsidRPr="00D6678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Information Required in General Referral Free Text Box  </w:t>
            </w:r>
          </w:p>
        </w:tc>
        <w:tc>
          <w:tcPr>
            <w:tcW w:w="2835" w:type="dxa"/>
            <w:shd w:val="clear" w:color="auto" w:fill="00594D"/>
          </w:tcPr>
          <w:p w14:paraId="53845E6D" w14:textId="26B069B9" w:rsidR="00D66788" w:rsidRDefault="00D66788" w:rsidP="00D66788">
            <w:pPr>
              <w:spacing w:before="251" w:after="238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Example</w:t>
            </w:r>
          </w:p>
        </w:tc>
      </w:tr>
      <w:tr w:rsidR="00D66788" w14:paraId="3D584886" w14:textId="77777777" w:rsidTr="00E91513">
        <w:trPr>
          <w:trHeight w:hRule="exact" w:val="990"/>
        </w:trPr>
        <w:tc>
          <w:tcPr>
            <w:tcW w:w="689" w:type="dxa"/>
          </w:tcPr>
          <w:p w14:paraId="38199A74" w14:textId="77777777" w:rsidR="00D66788" w:rsidRPr="00F837E3" w:rsidRDefault="00D66788" w:rsidP="00460F96">
            <w:pPr>
              <w:spacing w:before="146" w:line="245" w:lineRule="exact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1  </w:t>
            </w:r>
          </w:p>
        </w:tc>
        <w:tc>
          <w:tcPr>
            <w:tcW w:w="4976" w:type="dxa"/>
          </w:tcPr>
          <w:p w14:paraId="7DD6A143" w14:textId="34FC8BD8" w:rsidR="00D66788" w:rsidRPr="009E1422" w:rsidRDefault="00D66788" w:rsidP="00E91513">
            <w:pPr>
              <w:spacing w:before="146" w:line="245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E91513">
              <w:rPr>
                <w:rFonts w:ascii="Arial" w:hAnsi="Arial" w:cs="Arial"/>
                <w:color w:val="000000"/>
              </w:rPr>
              <w:t>Code: ‘</w:t>
            </w:r>
            <w:r w:rsidR="00E91513" w:rsidRPr="00034F7E">
              <w:rPr>
                <w:rFonts w:ascii="Arial" w:hAnsi="Arial" w:cs="Arial"/>
                <w:color w:val="000000"/>
              </w:rPr>
              <w:t>GP Access to Community Diagnostics</w:t>
            </w:r>
            <w:r w:rsidR="00E91513">
              <w:rPr>
                <w:rFonts w:ascii="Arial" w:hAnsi="Arial" w:cs="Arial"/>
                <w:color w:val="000000"/>
              </w:rPr>
              <w:t>’</w:t>
            </w:r>
            <w:r w:rsidR="00E91513" w:rsidRPr="00034F7E">
              <w:rPr>
                <w:rFonts w:ascii="Arial" w:hAnsi="Arial" w:cs="Arial"/>
                <w:color w:val="000000"/>
              </w:rPr>
              <w:t xml:space="preserve"> </w:t>
            </w:r>
            <w:r w:rsidR="00E91513" w:rsidRPr="00034F7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2DF57A0E" w14:textId="4A65EDC3" w:rsidR="00D66788" w:rsidRDefault="0094762A" w:rsidP="00460F96">
            <w:pPr>
              <w:spacing w:before="146" w:after="2038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 w:themeColor="text1"/>
              </w:rPr>
              <w:t>GP Access to Community Diagnostics</w:t>
            </w:r>
          </w:p>
        </w:tc>
      </w:tr>
      <w:tr w:rsidR="00D66788" w14:paraId="436B30C5" w14:textId="77777777" w:rsidTr="422BC619">
        <w:trPr>
          <w:trHeight w:hRule="exact" w:val="490"/>
        </w:trPr>
        <w:tc>
          <w:tcPr>
            <w:tcW w:w="689" w:type="dxa"/>
          </w:tcPr>
          <w:p w14:paraId="7EE3038F" w14:textId="77777777" w:rsidR="00D66788" w:rsidRPr="00F837E3" w:rsidRDefault="00D66788" w:rsidP="00460F96">
            <w:pPr>
              <w:spacing w:before="131" w:after="133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2  </w:t>
            </w:r>
          </w:p>
        </w:tc>
        <w:tc>
          <w:tcPr>
            <w:tcW w:w="4976" w:type="dxa"/>
          </w:tcPr>
          <w:p w14:paraId="660C7EB5" w14:textId="77777777" w:rsidR="00D66788" w:rsidRDefault="00D66788" w:rsidP="00460F96">
            <w:pPr>
              <w:spacing w:before="131" w:after="13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CHO  </w:t>
            </w:r>
          </w:p>
        </w:tc>
        <w:tc>
          <w:tcPr>
            <w:tcW w:w="2835" w:type="dxa"/>
          </w:tcPr>
          <w:p w14:paraId="0865C60A" w14:textId="77777777" w:rsidR="00D66788" w:rsidRDefault="00D66788" w:rsidP="00460F96">
            <w:pPr>
              <w:spacing w:before="131" w:after="13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CHO 1  </w:t>
            </w:r>
          </w:p>
        </w:tc>
      </w:tr>
      <w:tr w:rsidR="00D66788" w14:paraId="2FD143AC" w14:textId="77777777" w:rsidTr="422BC619">
        <w:trPr>
          <w:trHeight w:hRule="exact" w:val="932"/>
        </w:trPr>
        <w:tc>
          <w:tcPr>
            <w:tcW w:w="689" w:type="dxa"/>
          </w:tcPr>
          <w:p w14:paraId="023AC5D2" w14:textId="77777777" w:rsidR="00D66788" w:rsidRPr="00F837E3" w:rsidRDefault="00D66788" w:rsidP="00460F96">
            <w:pPr>
              <w:spacing w:before="131" w:line="245" w:lineRule="exact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3  </w:t>
            </w:r>
          </w:p>
        </w:tc>
        <w:tc>
          <w:tcPr>
            <w:tcW w:w="4976" w:type="dxa"/>
          </w:tcPr>
          <w:p w14:paraId="23C3AB02" w14:textId="77777777" w:rsidR="00D66788" w:rsidRDefault="00D66788" w:rsidP="00460F96">
            <w:pPr>
              <w:spacing w:before="131" w:line="245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Area (per ‘GP Access to Diagnostics CHO Private Providers’  </w:t>
            </w:r>
          </w:p>
          <w:p w14:paraId="24843B88" w14:textId="77777777" w:rsidR="00D66788" w:rsidRDefault="00D66788" w:rsidP="00460F96">
            <w:pPr>
              <w:spacing w:after="133" w:line="240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document)  </w:t>
            </w:r>
          </w:p>
        </w:tc>
        <w:tc>
          <w:tcPr>
            <w:tcW w:w="2835" w:type="dxa"/>
          </w:tcPr>
          <w:p w14:paraId="7FEC85AD" w14:textId="77777777" w:rsidR="00D66788" w:rsidRDefault="00D66788" w:rsidP="00460F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4E127" wp14:editId="52FE6305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83141</wp:posOffset>
                      </wp:positionV>
                      <wp:extent cx="1526778" cy="270299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4950" y="83141"/>
                                <a:ext cx="1412478" cy="1559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8846B9" w14:textId="77777777" w:rsidR="00D66788" w:rsidRDefault="00D66788" w:rsidP="00D66788">
                                  <w:pPr>
                                    <w:spacing w:line="24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Cavan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and Monaghan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 107" style="position:absolute;margin-left:4.5pt;margin-top:6.55pt;width:120.2pt;height:21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id="_x0000_s1026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PMXQIAABEFAAAOAAAAZHJzL2Uyb0RvYy54bWysVE2P0zAQvSPxHyzfaZKyZbdV0z2wKkJC&#10;sNqFH+A6k8aSv7DdJv33jO0kW1hOiB7SsT3zZuY9j7f3g5LkDM4Lo2taLUpKQHPTCH2s6Y/v+3d3&#10;lPjAdMOk0VDTC3h6v3v7ZtvbDSxNZ2QDjiCI9pve1rQLwW6KwvMOFPMLY0HjYWucYgGX7lg0jvWI&#10;rmSxLMsPRW9cY53h4D3uPuRDukv4bQs8fGtbD4HImmJtIX1d+h7it9ht2ebomO0EH8tg/1CFYkJj&#10;0hnqgQVGTk68glKCO+NNGxbcqMK0reCQesBuqvKPbp47ZiH1guR4O9Pk/x8s/3p+dEQ0qF15S4lm&#10;CkXaO4BIOYl7yFBv/QYdn+2jG1cezdju0DoV/7ERMtR09b66Wa+Q50tN79CuMr8wBMLxGDeWN7d4&#10;IzieV6vVer2ODsULDj/58AlMwmTnLz5kfZrJYt1k8UFPpkOVo74y6RsoQX0dJajvIee3LIxxmOo6&#10;hTZ7IWXKITXpsajlbYnlc4ZXsZUMsbiySI7XxySvN1I0MSY27d3x8FE6cmaYfL8v8ZecmLQdy7tV&#10;3Ey3DDOP/qnh34CUCDgEUqixgClAavSN5Ge6kxUuEmJyqZ+gReGQ1mUuLY4MzPUwzkGHKh91rIFc&#10;0Oq6nikiVZQAI3KL7c3YI8DkmUEm7Kzd6B9DIU3cHJzpSLP8urAcPEekzEaHOVgJbdzfOpPY1Zg5&#10;+08kZWoiS2E4DOgSzYNpLnjDexxxlPHniTmgRH7WOEPxPZgMNxmH0YgZYjzOXaJnfCPiYF+vk9fL&#10;S7b7BQAA//8DAFBLAwQUAAYACAAAACEA7xxkId4AAAAHAQAADwAAAGRycy9kb3ducmV2LnhtbEyP&#10;wW7CMBBE75X4B2uReisOFEpI46AKtSqoXAj9ACdekqjxOooNhH59t6f2uDOjmbfperCtuGDvG0cK&#10;ppMIBFLpTEOVgs/j20MMwgdNRreOUMENPayz0V2qE+OudMBLHirBJeQTraAOoUuk9GWNVvuJ65DY&#10;O7ne6sBnX0nT6yuX21bOouhJWt0QL9S6w02N5Vd+tgp223e3/R5yrD5sTPZWxJvT616p+/Hw8gwi&#10;4BD+wvCLz+iQMVPhzmS8aBWs+JPA8uMUBNuz+WoOolCwWCxBZqn8z5/9AAAA//8DAFBLAQItABQA&#10;BgAIAAAAIQC2gziS/gAAAOEBAAATAAAAAAAAAAAAAAAAAAAAAABbQ29udGVudF9UeXBlc10ueG1s&#10;UEsBAi0AFAAGAAgAAAAhADj9If/WAAAAlAEAAAsAAAAAAAAAAAAAAAAALwEAAF9yZWxzLy5yZWxz&#10;UEsBAi0AFAAGAAgAAAAhAPbSU8xdAgAAEQUAAA4AAAAAAAAAAAAAAAAALgIAAGRycy9lMm9Eb2Mu&#10;eG1sUEsBAi0AFAAGAAgAAAAhAO8cZCHeAAAABwEAAA8AAAAAAAAAAAAAAAAAtwQAAGRycy9kb3du&#10;cmV2LnhtbFBLBQYAAAAABAAEAPMAAADCBQAAAAA=&#10;" w14:anchorId="23C4E127">
                      <v:stroke miterlimit="83231f" joinstyle="miter"/>
                      <v:formulas/>
                      <v:path textboxrect="@1,@1,@1,@1" arrowok="t" o:connecttype="custom"/>
                      <v:textbox inset="0,0,0,0">
                        <w:txbxContent>
                          <w:p w:rsidR="00D66788" w:rsidP="00D66788" w:rsidRDefault="00D66788" w14:paraId="098846B9" w14:textId="77777777">
                            <w:pPr>
                              <w:spacing w:line="24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Cavan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Monaghan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D66788" w14:paraId="08B13BC4" w14:textId="77777777" w:rsidTr="422BC619">
        <w:trPr>
          <w:trHeight w:hRule="exact" w:val="1130"/>
        </w:trPr>
        <w:tc>
          <w:tcPr>
            <w:tcW w:w="689" w:type="dxa"/>
          </w:tcPr>
          <w:p w14:paraId="0A1DE0D9" w14:textId="77777777" w:rsidR="00D66788" w:rsidRPr="00F837E3" w:rsidRDefault="00D66788" w:rsidP="00460F96">
            <w:pPr>
              <w:spacing w:before="131" w:line="245" w:lineRule="exact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4  </w:t>
            </w:r>
          </w:p>
        </w:tc>
        <w:tc>
          <w:tcPr>
            <w:tcW w:w="4976" w:type="dxa"/>
          </w:tcPr>
          <w:p w14:paraId="3747A39F" w14:textId="247218FA" w:rsidR="00D66788" w:rsidRDefault="00BC3BD4" w:rsidP="00460F96">
            <w:pPr>
              <w:spacing w:before="131" w:line="24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D66788">
              <w:rPr>
                <w:rFonts w:ascii="Arial" w:hAnsi="Arial" w:cs="Arial"/>
                <w:color w:val="000000"/>
              </w:rPr>
              <w:t>edica</w:t>
            </w:r>
            <w:r w:rsidR="00D76B54">
              <w:rPr>
                <w:rFonts w:ascii="Arial" w:hAnsi="Arial" w:cs="Arial"/>
                <w:color w:val="000000"/>
              </w:rPr>
              <w:t>l car</w:t>
            </w:r>
            <w:r w:rsidR="00564867">
              <w:rPr>
                <w:rFonts w:ascii="Arial" w:hAnsi="Arial" w:cs="Arial"/>
                <w:color w:val="000000"/>
              </w:rPr>
              <w:t xml:space="preserve">d or GP visit card number if </w:t>
            </w:r>
            <w:r w:rsidR="00D76B54">
              <w:rPr>
                <w:rFonts w:ascii="Arial" w:hAnsi="Arial" w:cs="Arial"/>
                <w:color w:val="000000"/>
              </w:rPr>
              <w:t>available</w:t>
            </w:r>
          </w:p>
          <w:p w14:paraId="525CECD8" w14:textId="77777777" w:rsidR="00D66788" w:rsidRDefault="00D66788" w:rsidP="00460F96">
            <w:pPr>
              <w:spacing w:before="120" w:after="133" w:line="245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(8 characters)  </w:t>
            </w:r>
          </w:p>
        </w:tc>
        <w:tc>
          <w:tcPr>
            <w:tcW w:w="2835" w:type="dxa"/>
          </w:tcPr>
          <w:p w14:paraId="51F6EB64" w14:textId="77777777" w:rsidR="00D66788" w:rsidRDefault="00D66788" w:rsidP="00460F96">
            <w:pPr>
              <w:spacing w:before="131" w:after="508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A1B23456C  </w:t>
            </w:r>
          </w:p>
        </w:tc>
      </w:tr>
      <w:tr w:rsidR="00D66788" w14:paraId="0F8F0C47" w14:textId="77777777" w:rsidTr="422BC619">
        <w:trPr>
          <w:trHeight w:hRule="exact" w:val="580"/>
        </w:trPr>
        <w:tc>
          <w:tcPr>
            <w:tcW w:w="689" w:type="dxa"/>
          </w:tcPr>
          <w:p w14:paraId="124E78EA" w14:textId="77777777" w:rsidR="00D66788" w:rsidRPr="00F837E3" w:rsidRDefault="00D66788" w:rsidP="00460F96">
            <w:pPr>
              <w:spacing w:before="131" w:after="223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5  </w:t>
            </w:r>
          </w:p>
        </w:tc>
        <w:tc>
          <w:tcPr>
            <w:tcW w:w="4976" w:type="dxa"/>
          </w:tcPr>
          <w:p w14:paraId="67817103" w14:textId="77777777" w:rsidR="00D66788" w:rsidRDefault="00D66788" w:rsidP="00460F96">
            <w:pPr>
              <w:spacing w:before="131" w:after="22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Provider and Location  </w:t>
            </w:r>
          </w:p>
        </w:tc>
        <w:tc>
          <w:tcPr>
            <w:tcW w:w="2835" w:type="dxa"/>
          </w:tcPr>
          <w:p w14:paraId="6BD96F48" w14:textId="77777777" w:rsidR="00D66788" w:rsidRDefault="00D66788" w:rsidP="00460F96">
            <w:pPr>
              <w:spacing w:before="131" w:after="22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Alliance Medical, Galway  </w:t>
            </w:r>
          </w:p>
        </w:tc>
      </w:tr>
      <w:tr w:rsidR="00D66788" w14:paraId="7E8D8A9E" w14:textId="77777777" w:rsidTr="422BC619">
        <w:trPr>
          <w:trHeight w:hRule="exact" w:val="580"/>
        </w:trPr>
        <w:tc>
          <w:tcPr>
            <w:tcW w:w="689" w:type="dxa"/>
          </w:tcPr>
          <w:p w14:paraId="7DD6C1A7" w14:textId="77777777" w:rsidR="00D66788" w:rsidRPr="00F837E3" w:rsidRDefault="00D66788" w:rsidP="00460F96">
            <w:pPr>
              <w:spacing w:before="131" w:after="223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6  </w:t>
            </w:r>
          </w:p>
        </w:tc>
        <w:tc>
          <w:tcPr>
            <w:tcW w:w="4976" w:type="dxa"/>
          </w:tcPr>
          <w:p w14:paraId="32D016E9" w14:textId="77777777" w:rsidR="00D66788" w:rsidRDefault="00D66788" w:rsidP="00460F96">
            <w:pPr>
              <w:spacing w:before="131" w:after="22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Modality  </w:t>
            </w:r>
          </w:p>
        </w:tc>
        <w:tc>
          <w:tcPr>
            <w:tcW w:w="2835" w:type="dxa"/>
          </w:tcPr>
          <w:p w14:paraId="740BAA34" w14:textId="77777777" w:rsidR="00D66788" w:rsidRDefault="00D66788" w:rsidP="00460F96">
            <w:pPr>
              <w:spacing w:before="131" w:after="22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CT  </w:t>
            </w:r>
          </w:p>
        </w:tc>
      </w:tr>
      <w:tr w:rsidR="00D66788" w14:paraId="33B49341" w14:textId="77777777" w:rsidTr="422BC619">
        <w:trPr>
          <w:trHeight w:hRule="exact" w:val="964"/>
        </w:trPr>
        <w:tc>
          <w:tcPr>
            <w:tcW w:w="689" w:type="dxa"/>
          </w:tcPr>
          <w:p w14:paraId="170BC7D0" w14:textId="77777777" w:rsidR="00D66788" w:rsidRPr="00F837E3" w:rsidRDefault="00D66788" w:rsidP="00460F96">
            <w:pPr>
              <w:spacing w:before="131" w:line="245" w:lineRule="exact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7  </w:t>
            </w:r>
          </w:p>
        </w:tc>
        <w:tc>
          <w:tcPr>
            <w:tcW w:w="4976" w:type="dxa"/>
          </w:tcPr>
          <w:p w14:paraId="39FD2625" w14:textId="77777777" w:rsidR="00D66788" w:rsidRDefault="00D66788" w:rsidP="00460F96">
            <w:pPr>
              <w:spacing w:before="131" w:line="24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Part of the body to be scanned (depending on type of scan  </w:t>
            </w:r>
          </w:p>
          <w:p w14:paraId="3FAD1A08" w14:textId="77777777" w:rsidR="00D66788" w:rsidRDefault="00D66788" w:rsidP="00460F96">
            <w:pPr>
              <w:spacing w:after="133" w:line="245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being requested)  </w:t>
            </w:r>
          </w:p>
        </w:tc>
        <w:tc>
          <w:tcPr>
            <w:tcW w:w="2835" w:type="dxa"/>
          </w:tcPr>
          <w:p w14:paraId="6ECC6E69" w14:textId="77777777" w:rsidR="00D66788" w:rsidRDefault="00D66788" w:rsidP="00460F96">
            <w:pPr>
              <w:spacing w:before="131" w:after="388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Sinuses  </w:t>
            </w:r>
          </w:p>
        </w:tc>
      </w:tr>
      <w:tr w:rsidR="00D66788" w14:paraId="1B7E963A" w14:textId="77777777" w:rsidTr="422BC619">
        <w:trPr>
          <w:trHeight w:hRule="exact" w:val="580"/>
        </w:trPr>
        <w:tc>
          <w:tcPr>
            <w:tcW w:w="689" w:type="dxa"/>
          </w:tcPr>
          <w:p w14:paraId="3181E7AD" w14:textId="77777777" w:rsidR="00D66788" w:rsidRPr="00F837E3" w:rsidRDefault="00D66788" w:rsidP="00460F96">
            <w:pPr>
              <w:spacing w:before="131" w:after="223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8  </w:t>
            </w:r>
          </w:p>
        </w:tc>
        <w:tc>
          <w:tcPr>
            <w:tcW w:w="4976" w:type="dxa"/>
          </w:tcPr>
          <w:p w14:paraId="5FA1A120" w14:textId="77777777" w:rsidR="00D66788" w:rsidRDefault="00D66788" w:rsidP="00460F96">
            <w:pPr>
              <w:spacing w:before="131" w:after="22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Urgent or Routine  </w:t>
            </w:r>
          </w:p>
        </w:tc>
        <w:tc>
          <w:tcPr>
            <w:tcW w:w="2835" w:type="dxa"/>
          </w:tcPr>
          <w:p w14:paraId="56AF3B30" w14:textId="77777777" w:rsidR="00D66788" w:rsidRDefault="00D66788" w:rsidP="00460F96">
            <w:pPr>
              <w:spacing w:before="131" w:after="22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Routine  </w:t>
            </w:r>
          </w:p>
        </w:tc>
      </w:tr>
      <w:tr w:rsidR="00D66788" w14:paraId="3282804D" w14:textId="77777777" w:rsidTr="422BC619">
        <w:trPr>
          <w:trHeight w:hRule="exact" w:val="490"/>
        </w:trPr>
        <w:tc>
          <w:tcPr>
            <w:tcW w:w="689" w:type="dxa"/>
          </w:tcPr>
          <w:p w14:paraId="6255F739" w14:textId="77777777" w:rsidR="00D66788" w:rsidRPr="00F837E3" w:rsidRDefault="00D66788" w:rsidP="00460F96">
            <w:pPr>
              <w:spacing w:before="131" w:after="133"/>
              <w:ind w:left="29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9  </w:t>
            </w:r>
          </w:p>
        </w:tc>
        <w:tc>
          <w:tcPr>
            <w:tcW w:w="4976" w:type="dxa"/>
          </w:tcPr>
          <w:p w14:paraId="16FA42D7" w14:textId="77777777" w:rsidR="00D66788" w:rsidRDefault="00D66788" w:rsidP="00460F96">
            <w:pPr>
              <w:spacing w:before="131" w:after="13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Patient mobile number (if not provided already)  </w:t>
            </w:r>
          </w:p>
        </w:tc>
        <w:tc>
          <w:tcPr>
            <w:tcW w:w="2835" w:type="dxa"/>
          </w:tcPr>
          <w:p w14:paraId="19E2F29F" w14:textId="77777777" w:rsidR="00D66788" w:rsidRDefault="00D66788" w:rsidP="00460F96">
            <w:pPr>
              <w:spacing w:before="131" w:after="133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086-123-4567  </w:t>
            </w:r>
          </w:p>
        </w:tc>
      </w:tr>
      <w:tr w:rsidR="00D66788" w14:paraId="38081EAC" w14:textId="77777777" w:rsidTr="422BC619">
        <w:trPr>
          <w:trHeight w:hRule="exact" w:val="922"/>
        </w:trPr>
        <w:tc>
          <w:tcPr>
            <w:tcW w:w="689" w:type="dxa"/>
          </w:tcPr>
          <w:p w14:paraId="5380C8D6" w14:textId="77777777" w:rsidR="00D66788" w:rsidRPr="00F837E3" w:rsidRDefault="00D66788" w:rsidP="00460F96">
            <w:pPr>
              <w:spacing w:before="131" w:line="245" w:lineRule="exact"/>
              <w:ind w:left="23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F837E3">
              <w:rPr>
                <w:rFonts w:ascii="Arial" w:hAnsi="Arial" w:cs="Arial"/>
                <w:b/>
                <w:bCs/>
                <w:color w:val="000000"/>
              </w:rPr>
              <w:t xml:space="preserve">10  </w:t>
            </w:r>
          </w:p>
        </w:tc>
        <w:tc>
          <w:tcPr>
            <w:tcW w:w="4976" w:type="dxa"/>
          </w:tcPr>
          <w:p w14:paraId="0363128D" w14:textId="26D25A16" w:rsidR="00D66788" w:rsidRDefault="00D66788" w:rsidP="00F837E3">
            <w:pPr>
              <w:spacing w:before="131" w:line="245" w:lineRule="exact"/>
              <w:ind w:left="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Relevant clinical information, including previous imaging and</w:t>
            </w:r>
            <w:r w:rsidR="00F837E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where this was done  </w:t>
            </w:r>
          </w:p>
        </w:tc>
        <w:tc>
          <w:tcPr>
            <w:tcW w:w="2835" w:type="dxa"/>
          </w:tcPr>
          <w:p w14:paraId="0ACB65AC" w14:textId="77777777" w:rsidR="00D66788" w:rsidRDefault="00D66788" w:rsidP="00460F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98618" wp14:editId="480A00F0">
                      <wp:simplePos x="0" y="0"/>
                      <wp:positionH relativeFrom="page">
                        <wp:posOffset>57150</wp:posOffset>
                      </wp:positionH>
                      <wp:positionV relativeFrom="paragraph">
                        <wp:posOffset>83141</wp:posOffset>
                      </wp:positionV>
                      <wp:extent cx="1580505" cy="43222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4950" y="83141"/>
                                <a:ext cx="1466205" cy="317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C1B0C" w14:textId="77777777" w:rsidR="00D66788" w:rsidRDefault="00D66788" w:rsidP="00D66788">
                                  <w:pPr>
                                    <w:spacing w:line="2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MRI Brain at St James’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Hospital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Freeform 108" style="position:absolute;margin-left:4.5pt;margin-top:6.55pt;width:124.45pt;height:34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id="_x0000_s1027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Y1YQIAABgFAAAOAAAAZHJzL2Uyb0RvYy54bWysVNtuGyEQfa/Uf0C813uJ7SSW13lo5KpS&#10;1UZJ+wGYBS8StwL2rv++A+xu3KZPVf2wHmDmzMw5DNuHQUl0Zs4LoxtcLUqMmKamFfrY4B/f9x/u&#10;MPKB6JZIo1mDL8zjh937d9veblhtOiNb5hCAaL/pbYO7EOymKDztmCJ+YSzTcMiNUyTA0h2L1pEe&#10;0JUs6rJcF71xrXWGMu9h9zEf4l3C55zR8I1zzwKSDYbaQvq69D3Eb7Hbks3REdsJOpZB/qEKRYSG&#10;pDPUIwkEnZx4A6UEdcYbHhbUqMJwLihLPUA3VflHNy8dsSz1AuR4O9Pk/x8s/Xp+cki0oF0JUmmi&#10;QKS9YyxSjuIeMNRbvwHHF/vkxpUHM7Y7cKfiPzSChgavbqrl/Qp4vjT4Duwq88uGgCgcV8v1ui5X&#10;GFE4v6lu7+tldChecejJh0/MJExy/uJD1qedLNJNFh30ZDpQOeork74BI9DXYQT6HnJ+S8IYB6mu&#10;U2izF1KmHFKjHiqsb0sonxK4ilwSwKLKAjleH5O83kjRxpjYtHfHw0fp0JlA8v2+hF9yItJ2JO9W&#10;cTPdMsg8+qeGfwNSIsAQSKHGAqYAqcE3kp/pTla4SBaTS/3MOAgHtNa5tDgybK6HUMp0qPJRR1qW&#10;C1pd1zNFpIoSYETm0N6MPQJMnhlkws7ajf4xlKWJm4MzHWmW3xaWg+eIlNnoMAcroY37W2cSuhoz&#10;Z/+JpExNZCkMhyFf6ugZdw6mvcBF72HSQc2fJ+IYRvKzhlGKz8JkuMk4jEZMFONh/BJL41MR5/t6&#10;nbxeH7TdLwAAAP//AwBQSwMEFAAGAAgAAAAhAFNtiV/eAAAABwEAAA8AAABkcnMvZG93bnJldi54&#10;bWxMj8FOwzAQRO9I/QdrK3GjToKgaYhToQpEEVya9gOceJtExOsodtuUr2c5wXFnRjNv8/Vke3HG&#10;0XeOFMSLCARS7UxHjYLD/vUuBeGDJqN7R6jgih7Wxewm15lxF9rhuQyN4BLymVbQhjBkUvq6Rav9&#10;wg1I7B3daHXgc2ykGfWFy20vkyh6lFZ3xAutHnDTYv1VnqyC9+2b235PJTYfNiV7rdLN8eVTqdv5&#10;9PwEIuAU/sLwi8/oUDBT5U5kvOgVrPiTwPJ9DILt5GG5AlEpSOMEZJHL//zFDwAAAP//AwBQSwEC&#10;LQAUAAYACAAAACEAtoM4kv4AAADhAQAAEwAAAAAAAAAAAAAAAAAAAAAAW0NvbnRlbnRfVHlwZXNd&#10;LnhtbFBLAQItABQABgAIAAAAIQA4/SH/1gAAAJQBAAALAAAAAAAAAAAAAAAAAC8BAABfcmVscy8u&#10;cmVsc1BLAQItABQABgAIAAAAIQCl7uY1YQIAABgFAAAOAAAAAAAAAAAAAAAAAC4CAABkcnMvZTJv&#10;RG9jLnhtbFBLAQItABQABgAIAAAAIQBTbYlf3gAAAAcBAAAPAAAAAAAAAAAAAAAAALsEAABkcnMv&#10;ZG93bnJldi54bWxQSwUGAAAAAAQABADzAAAAxgUAAAAA&#10;" w14:anchorId="04298618">
                      <v:stroke miterlimit="83231f" joinstyle="miter"/>
                      <v:formulas/>
                      <v:path textboxrect="@1,@1,@1,@1" arrowok="t" o:connecttype="custom"/>
                      <v:textbox inset="0,0,0,0">
                        <w:txbxContent>
                          <w:p w:rsidR="00D66788" w:rsidP="00D66788" w:rsidRDefault="00D66788" w14:paraId="4ABC1B0C" w14:textId="77777777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MRI Brain at St James’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Hospital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111F5824" w14:textId="77777777" w:rsidR="007260AA" w:rsidRDefault="007260AA" w:rsidP="00D66788"/>
    <w:p w14:paraId="64F5BBD6" w14:textId="77777777" w:rsidR="00223AE5" w:rsidRDefault="00223AE5" w:rsidP="00D66788"/>
    <w:p w14:paraId="5E4EEA05" w14:textId="77777777" w:rsidR="00223AE5" w:rsidRDefault="00223AE5" w:rsidP="00D66788"/>
    <w:p w14:paraId="584AD04A" w14:textId="77777777" w:rsidR="00223AE5" w:rsidRDefault="00223AE5" w:rsidP="00D66788"/>
    <w:p w14:paraId="3F9141D4" w14:textId="77777777" w:rsidR="00223AE5" w:rsidRDefault="00223AE5" w:rsidP="00D66788"/>
    <w:p w14:paraId="3BD23568" w14:textId="77777777" w:rsidR="00223AE5" w:rsidRDefault="00223AE5" w:rsidP="00D66788"/>
    <w:p w14:paraId="625047B9" w14:textId="77777777" w:rsidR="00223AE5" w:rsidRDefault="00223AE5" w:rsidP="00D66788"/>
    <w:p w14:paraId="70861C32" w14:textId="77777777" w:rsidR="00223AE5" w:rsidRDefault="00223AE5" w:rsidP="00D66788"/>
    <w:p w14:paraId="3BA8F05D" w14:textId="77777777" w:rsidR="00223AE5" w:rsidRDefault="00223AE5" w:rsidP="00D66788"/>
    <w:p w14:paraId="0BE6BF31" w14:textId="77777777" w:rsidR="00223AE5" w:rsidRDefault="00223AE5" w:rsidP="00D66788"/>
    <w:p w14:paraId="20867C14" w14:textId="77777777" w:rsidR="00223AE5" w:rsidRDefault="00223AE5" w:rsidP="00D66788"/>
    <w:p w14:paraId="1C9A231E" w14:textId="77777777" w:rsidR="00223AE5" w:rsidRDefault="00223AE5" w:rsidP="00D66788"/>
    <w:p w14:paraId="5FB64A9A" w14:textId="77777777" w:rsidR="00223AE5" w:rsidRDefault="00223AE5" w:rsidP="00D66788"/>
    <w:p w14:paraId="3D1F8414" w14:textId="77777777" w:rsidR="00223AE5" w:rsidRDefault="00223AE5" w:rsidP="00D66788"/>
    <w:p w14:paraId="0A0741CB" w14:textId="77777777" w:rsidR="00223AE5" w:rsidRDefault="00223AE5" w:rsidP="00D66788"/>
    <w:p w14:paraId="18E93550" w14:textId="77777777" w:rsidR="00223AE5" w:rsidRDefault="00223AE5" w:rsidP="00D66788"/>
    <w:p w14:paraId="67A81C6F" w14:textId="77777777" w:rsidR="00223AE5" w:rsidRDefault="00223AE5" w:rsidP="00D66788"/>
    <w:p w14:paraId="3D86EF21" w14:textId="77777777" w:rsidR="00223AE5" w:rsidRDefault="00223AE5" w:rsidP="00D66788"/>
    <w:p w14:paraId="54E4A8C5" w14:textId="77777777" w:rsidR="00223AE5" w:rsidRDefault="00223AE5" w:rsidP="00D66788"/>
    <w:p w14:paraId="15BA34F8" w14:textId="77777777" w:rsidR="00223AE5" w:rsidRDefault="00223AE5" w:rsidP="00D66788"/>
    <w:p w14:paraId="397EEEDD" w14:textId="77777777" w:rsidR="00223AE5" w:rsidRDefault="00223AE5" w:rsidP="00D66788"/>
    <w:p w14:paraId="383EA6F5" w14:textId="77777777" w:rsidR="00223AE5" w:rsidRDefault="00223AE5" w:rsidP="00D66788"/>
    <w:p w14:paraId="175EC368" w14:textId="77777777" w:rsidR="00223AE5" w:rsidRDefault="00223AE5" w:rsidP="00D66788"/>
    <w:p w14:paraId="76EFAED9" w14:textId="77777777" w:rsidR="00223AE5" w:rsidRDefault="00223AE5" w:rsidP="00D66788"/>
    <w:p w14:paraId="629C69CB" w14:textId="77777777" w:rsidR="00223AE5" w:rsidRDefault="00223AE5" w:rsidP="00D66788"/>
    <w:p w14:paraId="25021BEE" w14:textId="77777777" w:rsidR="00223AE5" w:rsidRDefault="00223AE5" w:rsidP="00D66788"/>
    <w:p w14:paraId="6FFDAD1E" w14:textId="77777777" w:rsidR="00223AE5" w:rsidRDefault="00223AE5" w:rsidP="00D66788"/>
    <w:p w14:paraId="5162A3AE" w14:textId="77777777" w:rsidR="00223AE5" w:rsidRDefault="00223AE5" w:rsidP="00D66788"/>
    <w:p w14:paraId="159153BE" w14:textId="77777777" w:rsidR="00223AE5" w:rsidRDefault="00223AE5" w:rsidP="00D66788"/>
    <w:p w14:paraId="3CB05F27" w14:textId="77777777" w:rsidR="00223AE5" w:rsidRDefault="00223AE5" w:rsidP="00D66788"/>
    <w:p w14:paraId="76C460AC" w14:textId="77777777" w:rsidR="00223AE5" w:rsidRDefault="00223AE5" w:rsidP="00D66788"/>
    <w:p w14:paraId="12FE7324" w14:textId="77777777" w:rsidR="00223AE5" w:rsidRDefault="00223AE5" w:rsidP="00D66788"/>
    <w:p w14:paraId="3327AE6C" w14:textId="77777777" w:rsidR="00223AE5" w:rsidRDefault="00223AE5" w:rsidP="00D66788"/>
    <w:p w14:paraId="08A70F13" w14:textId="77777777" w:rsidR="00223AE5" w:rsidRDefault="00223AE5" w:rsidP="00D66788"/>
    <w:p w14:paraId="0FB02A75" w14:textId="77777777" w:rsidR="00223AE5" w:rsidRDefault="00223AE5" w:rsidP="00D66788"/>
    <w:p w14:paraId="2A9B9CD4" w14:textId="77777777" w:rsidR="00223AE5" w:rsidRDefault="00223AE5" w:rsidP="00D66788"/>
    <w:p w14:paraId="518A23C0" w14:textId="77777777" w:rsidR="00223AE5" w:rsidRDefault="00223AE5" w:rsidP="00D66788"/>
    <w:p w14:paraId="43DA67D5" w14:textId="2550DA2C" w:rsidR="00223AE5" w:rsidRPr="00F837E3" w:rsidRDefault="00F837E3" w:rsidP="00F837E3">
      <w:pPr>
        <w:autoSpaceDE w:val="0"/>
        <w:autoSpaceDN w:val="0"/>
        <w:adjustRightInd w:val="0"/>
        <w:spacing w:line="366" w:lineRule="auto"/>
        <w:ind w:right="61"/>
        <w:jc w:val="both"/>
        <w:rPr>
          <w:rFonts w:ascii="Arial" w:hAnsi="Arial" w:cs="Arial"/>
          <w:color w:val="000000"/>
        </w:rPr>
      </w:pPr>
      <w:r w:rsidRPr="00F837E3">
        <w:rPr>
          <w:rFonts w:ascii="Arial" w:hAnsi="Arial" w:cs="Arial"/>
          <w:color w:val="000000"/>
        </w:rPr>
        <w:t xml:space="preserve">It is particularly important that </w:t>
      </w:r>
      <w:proofErr w:type="gramStart"/>
      <w:r w:rsidRPr="00F837E3"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</w:rPr>
        <w:t xml:space="preserve"> </w:t>
      </w:r>
      <w:r w:rsidRPr="00F837E3">
        <w:rPr>
          <w:rFonts w:ascii="Arial" w:hAnsi="Arial" w:cs="Arial"/>
          <w:color w:val="000000"/>
        </w:rPr>
        <w:t>of</w:t>
      </w:r>
      <w:proofErr w:type="gramEnd"/>
      <w:r w:rsidRPr="00F837E3">
        <w:rPr>
          <w:rFonts w:ascii="Arial" w:hAnsi="Arial" w:cs="Arial"/>
          <w:color w:val="000000"/>
        </w:rPr>
        <w:t xml:space="preserve"> the above information is specified correctly on the referral, particularly the </w:t>
      </w:r>
      <w:r w:rsidRPr="00384F6E">
        <w:rPr>
          <w:rFonts w:ascii="Arial" w:hAnsi="Arial" w:cs="Arial"/>
          <w:b/>
          <w:bCs/>
          <w:color w:val="000000"/>
        </w:rPr>
        <w:t>valid medical card or GP visit card number where applicable</w:t>
      </w:r>
      <w:r w:rsidRPr="00F837E3">
        <w:rPr>
          <w:rFonts w:ascii="Arial" w:hAnsi="Arial" w:cs="Arial"/>
          <w:color w:val="000000"/>
        </w:rPr>
        <w:t xml:space="preserve">. Failure to include </w:t>
      </w:r>
      <w:r w:rsidR="00223AE5" w:rsidRPr="00F837E3">
        <w:rPr>
          <w:rFonts w:ascii="Arial" w:hAnsi="Arial" w:cs="Arial"/>
          <w:color w:val="000000"/>
        </w:rPr>
        <w:t>this will result in the private providers not accepting a referral or the patient being charged.</w:t>
      </w:r>
    </w:p>
    <w:p w14:paraId="471CDA06" w14:textId="77777777" w:rsidR="00223AE5" w:rsidRDefault="00223AE5" w:rsidP="00D66788"/>
    <w:sectPr w:rsidR="00223AE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168C" w14:textId="77777777" w:rsidR="004F68A6" w:rsidRDefault="004F68A6" w:rsidP="00D66788">
      <w:r>
        <w:separator/>
      </w:r>
    </w:p>
  </w:endnote>
  <w:endnote w:type="continuationSeparator" w:id="0">
    <w:p w14:paraId="229ADC14" w14:textId="77777777" w:rsidR="004F68A6" w:rsidRDefault="004F68A6" w:rsidP="00D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77C" w14:textId="6FBAAAF9" w:rsidR="00A94D0F" w:rsidRDefault="003152C9" w:rsidP="00D66788">
    <w:pPr>
      <w:spacing w:line="183" w:lineRule="exact"/>
      <w:rPr>
        <w:rFonts w:ascii="Arial Narrow" w:hAnsi="Arial Narrow" w:cs="Arial Narrow"/>
        <w:color w:val="000000"/>
        <w:sz w:val="16"/>
        <w:szCs w:val="16"/>
      </w:rPr>
    </w:pPr>
    <w:r>
      <w:rPr>
        <w:rFonts w:ascii="Arial Narrow" w:hAnsi="Arial Narrow" w:cs="Arial Narrow"/>
        <w:color w:val="000000"/>
        <w:sz w:val="16"/>
        <w:szCs w:val="16"/>
      </w:rPr>
      <w:t xml:space="preserve">Enhanced Community Care Programme </w:t>
    </w:r>
  </w:p>
  <w:p w14:paraId="341A6933" w14:textId="510814DE" w:rsidR="00A94D0F" w:rsidRDefault="00D66788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CBE5098" wp14:editId="29F639B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8750" cy="3702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FA6D" w14:textId="77777777" w:rsidR="004F68A6" w:rsidRDefault="004F68A6" w:rsidP="00D66788">
      <w:r>
        <w:separator/>
      </w:r>
    </w:p>
  </w:footnote>
  <w:footnote w:type="continuationSeparator" w:id="0">
    <w:p w14:paraId="3FF9C078" w14:textId="77777777" w:rsidR="004F68A6" w:rsidRDefault="004F68A6" w:rsidP="00D6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5865"/>
    <w:multiLevelType w:val="hybridMultilevel"/>
    <w:tmpl w:val="A53C87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88"/>
    <w:rsid w:val="00153E78"/>
    <w:rsid w:val="001F0839"/>
    <w:rsid w:val="00223AE5"/>
    <w:rsid w:val="003152C9"/>
    <w:rsid w:val="00384F6E"/>
    <w:rsid w:val="004950D6"/>
    <w:rsid w:val="004F1286"/>
    <w:rsid w:val="004F68A6"/>
    <w:rsid w:val="00564867"/>
    <w:rsid w:val="005841A8"/>
    <w:rsid w:val="007260AA"/>
    <w:rsid w:val="007E6DCC"/>
    <w:rsid w:val="0094762A"/>
    <w:rsid w:val="009E1422"/>
    <w:rsid w:val="00B03A2A"/>
    <w:rsid w:val="00BC3BD4"/>
    <w:rsid w:val="00D135AC"/>
    <w:rsid w:val="00D66788"/>
    <w:rsid w:val="00D76B54"/>
    <w:rsid w:val="00DE6535"/>
    <w:rsid w:val="00E27137"/>
    <w:rsid w:val="00E91513"/>
    <w:rsid w:val="00F837E3"/>
    <w:rsid w:val="00FD48DD"/>
    <w:rsid w:val="348BA8A2"/>
    <w:rsid w:val="422BC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102B0"/>
  <w15:chartTrackingRefBased/>
  <w15:docId w15:val="{EC88359F-6F0D-4EF7-BC0F-F4F4ED12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88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67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8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67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8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66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7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6678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667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8D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8D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&#8203;hse@globaldiagnostics.ie&#8203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55AEF5646194C874AD8FC49553379" ma:contentTypeVersion="11" ma:contentTypeDescription="Create a new document." ma:contentTypeScope="" ma:versionID="08fea555a5457eda987913086930c5d5">
  <xsd:schema xmlns:xsd="http://www.w3.org/2001/XMLSchema" xmlns:xs="http://www.w3.org/2001/XMLSchema" xmlns:p="http://schemas.microsoft.com/office/2006/metadata/properties" xmlns:ns2="5c28c5eb-5b5c-489e-98b1-1f12a1c3b6a7" xmlns:ns3="ff22ee92-3fe1-4242-821e-eaf0521a8e77" targetNamespace="http://schemas.microsoft.com/office/2006/metadata/properties" ma:root="true" ma:fieldsID="138c38a0efe3f955f9eef19db2206b98" ns2:_="" ns3:_="">
    <xsd:import namespace="5c28c5eb-5b5c-489e-98b1-1f12a1c3b6a7"/>
    <xsd:import namespace="ff22ee92-3fe1-4242-821e-eaf0521a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c5eb-5b5c-489e-98b1-1f12a1c3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2ee92-3fe1-4242-821e-eaf0521a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1B5DC-422E-4ECF-8100-54A6A0770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5C6CF-2215-4916-A475-52397465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8c5eb-5b5c-489e-98b1-1f12a1c3b6a7"/>
    <ds:schemaRef ds:uri="ff22ee92-3fe1-4242-821e-eaf0521a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DD0AA-F18C-4A60-B412-E911A0C70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353CB9-F15E-48BE-AFA4-22F0183532CB}">
  <ds:schemaRefs>
    <ds:schemaRef ds:uri="ff22ee92-3fe1-4242-821e-eaf0521a8e77"/>
    <ds:schemaRef ds:uri="http://purl.org/dc/elements/1.1/"/>
    <ds:schemaRef ds:uri="http://schemas.microsoft.com/office/2006/metadata/properties"/>
    <ds:schemaRef ds:uri="5c28c5eb-5b5c-489e-98b1-1f12a1c3b6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Romero</dc:creator>
  <cp:keywords/>
  <dc:description/>
  <cp:lastModifiedBy>James S McKee</cp:lastModifiedBy>
  <cp:revision>9</cp:revision>
  <dcterms:created xsi:type="dcterms:W3CDTF">2022-09-09T13:46:00Z</dcterms:created>
  <dcterms:modified xsi:type="dcterms:W3CDTF">2022-09-09T14:47:00Z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0x01010036755AEF5646194C874AD8FC49553379</vt:lpwstr>
  </property>
</Properties>
</file>