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C" w:rsidRDefault="00604C2A" w:rsidP="001905D0">
      <w:pPr>
        <w:pStyle w:val="Default"/>
        <w:spacing w:after="240"/>
        <w:rPr>
          <w:rFonts w:ascii="Arial Black" w:hAnsi="Arial Black"/>
          <w:sz w:val="36"/>
        </w:rPr>
      </w:pPr>
      <w:bookmarkStart w:id="0" w:name="_GoBack"/>
      <w:bookmarkEnd w:id="0"/>
      <w:r>
        <w:rPr>
          <w:rFonts w:ascii="Arial Black" w:hAnsi="Arial Black"/>
          <w:sz w:val="36"/>
        </w:rPr>
        <w:t>The National Maternity</w:t>
      </w:r>
      <w:r w:rsidR="001037EB">
        <w:rPr>
          <w:rFonts w:ascii="Arial Black" w:hAnsi="Arial Black"/>
          <w:sz w:val="36"/>
        </w:rPr>
        <w:t xml:space="preserve"> Hospital</w:t>
      </w:r>
      <w:r w:rsidR="0086476D">
        <w:rPr>
          <w:rFonts w:ascii="Arial Black" w:hAnsi="Arial Black"/>
          <w:sz w:val="36"/>
        </w:rPr>
        <w:t xml:space="preserve"> </w:t>
      </w:r>
      <w:r w:rsidR="0086476D" w:rsidRPr="0086476D">
        <w:rPr>
          <w:rFonts w:ascii="Arial Black" w:hAnsi="Arial Black"/>
          <w:color w:val="FF0000"/>
          <w:sz w:val="36"/>
        </w:rPr>
        <w:t>DRAFT</w:t>
      </w:r>
    </w:p>
    <w:p w:rsidR="001905D0" w:rsidRPr="007B1ADA" w:rsidRDefault="00386FDC" w:rsidP="001905D0">
      <w:pPr>
        <w:pStyle w:val="Default"/>
        <w:spacing w:after="240"/>
        <w:rPr>
          <w:rFonts w:ascii="Arial Narrow" w:hAnsi="Arial Narrow" w:cs="Arial"/>
          <w:color w:val="FF0000"/>
          <w:sz w:val="20"/>
        </w:rPr>
      </w:pPr>
      <w:r>
        <w:rPr>
          <w:rFonts w:ascii="Arial Black" w:hAnsi="Arial Black"/>
          <w:sz w:val="28"/>
          <w:szCs w:val="28"/>
        </w:rPr>
        <w:t>Maternity Patient Safety Statement</w:t>
      </w:r>
      <w:r w:rsidRPr="00554389">
        <w:rPr>
          <w:rFonts w:ascii="Arial Black" w:hAnsi="Arial Black"/>
          <w:sz w:val="28"/>
          <w:szCs w:val="28"/>
        </w:rPr>
        <w:t xml:space="preserve"> </w:t>
      </w:r>
      <w:r w:rsidR="00A64643" w:rsidRPr="00554389">
        <w:rPr>
          <w:rFonts w:ascii="Arial Black" w:hAnsi="Arial Black"/>
          <w:sz w:val="28"/>
          <w:szCs w:val="28"/>
        </w:rPr>
        <w:t xml:space="preserve">– </w:t>
      </w:r>
      <w:r w:rsidR="006A7DD5">
        <w:rPr>
          <w:rFonts w:ascii="Arial Black" w:hAnsi="Arial Black"/>
          <w:sz w:val="28"/>
          <w:szCs w:val="28"/>
        </w:rPr>
        <w:t>Novem</w:t>
      </w:r>
      <w:r w:rsidR="00A57FFE">
        <w:rPr>
          <w:rFonts w:ascii="Arial Black" w:hAnsi="Arial Black"/>
          <w:sz w:val="28"/>
          <w:szCs w:val="28"/>
        </w:rPr>
        <w:t>b</w:t>
      </w:r>
      <w:r w:rsidR="007D646A">
        <w:rPr>
          <w:rFonts w:ascii="Arial Black" w:hAnsi="Arial Black"/>
          <w:sz w:val="28"/>
          <w:szCs w:val="28"/>
        </w:rPr>
        <w:t>er</w:t>
      </w:r>
      <w:r w:rsidR="007417F1">
        <w:rPr>
          <w:rFonts w:ascii="Arial Black" w:hAnsi="Arial Black"/>
          <w:sz w:val="28"/>
          <w:szCs w:val="28"/>
        </w:rPr>
        <w:t xml:space="preserve"> 2019</w:t>
      </w:r>
      <w:r w:rsidR="003D4F83">
        <w:rPr>
          <w:rFonts w:ascii="Arial Black" w:hAnsi="Arial Black"/>
          <w:sz w:val="28"/>
          <w:szCs w:val="28"/>
        </w:rPr>
        <w:t xml:space="preserve"> </w:t>
      </w:r>
    </w:p>
    <w:p w:rsidR="00554389" w:rsidRPr="00237E05" w:rsidRDefault="00554389" w:rsidP="00592920">
      <w:pPr>
        <w:pStyle w:val="Default"/>
        <w:spacing w:after="30"/>
        <w:rPr>
          <w:bCs/>
          <w:color w:val="auto"/>
          <w:sz w:val="20"/>
          <w:szCs w:val="20"/>
        </w:rPr>
      </w:pPr>
      <w:r w:rsidRPr="00237E05">
        <w:rPr>
          <w:bCs/>
          <w:color w:val="auto"/>
          <w:sz w:val="20"/>
          <w:szCs w:val="20"/>
        </w:rPr>
        <w:t xml:space="preserve">These summary statistics reflect the most recent monthly activity at </w:t>
      </w:r>
      <w:r w:rsidR="00237E05" w:rsidRPr="00237E05">
        <w:rPr>
          <w:bCs/>
          <w:color w:val="auto"/>
          <w:sz w:val="20"/>
          <w:szCs w:val="20"/>
        </w:rPr>
        <w:t>The National Maternity Hospital</w:t>
      </w:r>
      <w:r w:rsidRPr="00237E05">
        <w:rPr>
          <w:bCs/>
          <w:color w:val="auto"/>
          <w:sz w:val="20"/>
          <w:szCs w:val="20"/>
        </w:rPr>
        <w:t>. We hope that these data provide reassurance regarding the quality and safety of services at our hospital. These figures are not formatted in a way to support comparison with other hospitals or aggregation with other data. Given the complexity of care at our hospital, which is a national tertiary referral centre, it is not appropriate to compare any of these statistics with other hospitals that have different patient numbers or types of clinical workload.</w:t>
      </w:r>
    </w:p>
    <w:p w:rsidR="00DE7856" w:rsidRDefault="00DE7856" w:rsidP="00AC1995"/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602"/>
        <w:gridCol w:w="4725"/>
        <w:gridCol w:w="1051"/>
      </w:tblGrid>
      <w:tr w:rsidR="00604C2A" w:rsidTr="00C952F3">
        <w:trPr>
          <w:trHeight w:val="491"/>
        </w:trPr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C2A" w:rsidRDefault="00604C2A" w:rsidP="00B217C8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Hospital Activities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C2A" w:rsidRPr="008A57FB" w:rsidRDefault="00604C2A" w:rsidP="00F20EFB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>Total m</w:t>
            </w:r>
            <w:r w:rsidRPr="008A57FB"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others delivered ≥ 500g (n)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B77" w:rsidRDefault="00A05159" w:rsidP="006A7DD5">
            <w:pPr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6</w:t>
            </w:r>
            <w:r w:rsidR="006A7DD5">
              <w:rPr>
                <w:rFonts w:ascii="Arial Narrow" w:hAnsi="Arial Narrow" w:cs="Calibri"/>
                <w:color w:val="000000"/>
                <w:sz w:val="20"/>
              </w:rPr>
              <w:t>57</w:t>
            </w:r>
          </w:p>
        </w:tc>
      </w:tr>
      <w:tr w:rsidR="00604C2A" w:rsidTr="00C952F3">
        <w:trPr>
          <w:trHeight w:val="491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Default="00604C2A" w:rsidP="00B439BF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Pr="008A57FB" w:rsidRDefault="00604C2A" w:rsidP="00BF581F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  <w:r w:rsidRPr="008B3A4E">
              <w:rPr>
                <w:rFonts w:ascii="Arial Narrow" w:hAnsi="Arial Narrow"/>
                <w:color w:val="000000"/>
                <w:sz w:val="20"/>
                <w:lang w:eastAsia="en-IE"/>
              </w:rPr>
              <w:t>Multiple pregnancies (n)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51D" w:rsidRDefault="006A7DD5" w:rsidP="00A57FFE">
            <w:pPr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20</w:t>
            </w:r>
          </w:p>
        </w:tc>
      </w:tr>
      <w:tr w:rsidR="00604C2A" w:rsidTr="00C952F3">
        <w:trPr>
          <w:trHeight w:val="491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Default="00604C2A" w:rsidP="00B439BF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Pr="008A57FB" w:rsidRDefault="00604C2A" w:rsidP="00F20EFB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Total births </w:t>
            </w:r>
            <w:r w:rsidRPr="008A57FB">
              <w:rPr>
                <w:rFonts w:ascii="Arial Narrow" w:hAnsi="Arial Narrow"/>
                <w:color w:val="000000"/>
                <w:sz w:val="20"/>
                <w:lang w:eastAsia="en-IE"/>
              </w:rPr>
              <w:t>≥ 500g (n)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A7DD5" w:rsidP="00A57FFE">
            <w:pPr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677</w:t>
            </w:r>
          </w:p>
        </w:tc>
      </w:tr>
      <w:tr w:rsidR="00604C2A" w:rsidTr="00C952F3">
        <w:trPr>
          <w:trHeight w:val="491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2A" w:rsidRDefault="00604C2A" w:rsidP="00B439BF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Pr="00BC2A64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271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Pr="00690E7E" w:rsidRDefault="00604C2A" w:rsidP="00E858C9">
            <w:pPr>
              <w:rPr>
                <w:rFonts w:ascii="Arial Narrow" w:hAnsi="Arial Narrow"/>
                <w:color w:val="C00000"/>
                <w:sz w:val="20"/>
                <w:highlight w:val="yellow"/>
                <w:lang w:eastAsia="en-IE"/>
              </w:rPr>
            </w:pPr>
            <w:r w:rsidRPr="001A783A"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Perinatal </w:t>
            </w: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>mortality rate – adjusted (per 1,000 total births)</w:t>
            </w:r>
            <w:r w:rsidR="00332476"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 </w:t>
            </w:r>
            <w:r w:rsidR="00332476" w:rsidRPr="00332476">
              <w:rPr>
                <w:rFonts w:ascii="Arial Narrow" w:hAnsi="Arial Narrow"/>
                <w:i/>
                <w:color w:val="000000"/>
                <w:sz w:val="20"/>
                <w:lang w:eastAsia="en-IE"/>
              </w:rPr>
              <w:t>(normally formed &gt;</w:t>
            </w:r>
            <w:r w:rsidR="00E858C9">
              <w:rPr>
                <w:rFonts w:ascii="Arial Narrow" w:hAnsi="Arial Narrow"/>
                <w:i/>
                <w:color w:val="000000"/>
                <w:sz w:val="20"/>
                <w:lang w:eastAsia="en-IE"/>
              </w:rPr>
              <w:t>=</w:t>
            </w:r>
            <w:r w:rsidR="00332476" w:rsidRPr="00332476">
              <w:rPr>
                <w:rFonts w:ascii="Arial Narrow" w:hAnsi="Arial Narrow"/>
                <w:i/>
                <w:color w:val="000000"/>
                <w:sz w:val="20"/>
                <w:lang w:eastAsia="en-IE"/>
              </w:rPr>
              <w:t>2500g)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2A" w:rsidRPr="008D5664" w:rsidRDefault="0040651D" w:rsidP="006A7DD5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 xml:space="preserve"> </w:t>
            </w:r>
            <w:r w:rsidR="006A7DD5">
              <w:rPr>
                <w:rFonts w:ascii="Arial Narrow" w:hAnsi="Arial Narrow" w:cs="Calibri"/>
                <w:sz w:val="20"/>
              </w:rPr>
              <w:t>0</w:t>
            </w:r>
            <w:r w:rsidR="008B5B99">
              <w:rPr>
                <w:rFonts w:ascii="Arial Narrow" w:hAnsi="Arial Narrow" w:cs="Calibri"/>
                <w:sz w:val="20"/>
              </w:rPr>
              <w:t xml:space="preserve"> </w:t>
            </w:r>
            <w:r w:rsidR="007417F1" w:rsidRPr="008D5664">
              <w:rPr>
                <w:rFonts w:ascii="Arial Narrow" w:hAnsi="Arial Narrow" w:cs="Calibri"/>
                <w:sz w:val="20"/>
              </w:rPr>
              <w:t>(n=</w:t>
            </w:r>
            <w:r w:rsidR="006A7DD5">
              <w:rPr>
                <w:rFonts w:ascii="Arial Narrow" w:hAnsi="Arial Narrow" w:cs="Calibri"/>
                <w:sz w:val="20"/>
              </w:rPr>
              <w:t>0</w:t>
            </w:r>
            <w:r w:rsidR="007417F1" w:rsidRPr="008D5664">
              <w:rPr>
                <w:rFonts w:ascii="Arial Narrow" w:hAnsi="Arial Narrow" w:cs="Calibri"/>
                <w:sz w:val="20"/>
              </w:rPr>
              <w:t xml:space="preserve">) 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2A" w:rsidRDefault="00604C2A" w:rsidP="00B439BF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Pr="00B439BF" w:rsidRDefault="00604C2A" w:rsidP="00F20EFB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>In utero transfer –</w:t>
            </w:r>
            <w:r w:rsidRPr="008A57FB"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 admitted (n)</w:t>
            </w:r>
            <w:r w:rsidR="00582D4C">
              <w:rPr>
                <w:rFonts w:ascii="Arial Narrow" w:hAnsi="Arial Narrow"/>
                <w:color w:val="000000"/>
                <w:sz w:val="20"/>
                <w:lang w:eastAsia="en-IE"/>
              </w:rPr>
              <w:t>*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A7DD5" w:rsidP="00F20EFB">
            <w:pPr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4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C2A" w:rsidRDefault="00604C2A" w:rsidP="009A5A1D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604C2A" w:rsidP="002B704F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  <w:r w:rsidRPr="008A57FB"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In </w:t>
            </w: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utero transfer – sent out </w:t>
            </w:r>
            <w:r w:rsidRPr="008A57FB">
              <w:rPr>
                <w:rFonts w:ascii="Arial Narrow" w:hAnsi="Arial Narrow"/>
                <w:color w:val="000000"/>
                <w:sz w:val="20"/>
                <w:lang w:eastAsia="en-IE"/>
              </w:rPr>
              <w:t>(n)</w:t>
            </w:r>
          </w:p>
          <w:p w:rsidR="00604C2A" w:rsidRPr="008A57FB" w:rsidRDefault="00604C2A" w:rsidP="002B704F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C2A" w:rsidRDefault="003213D3" w:rsidP="00F20EFB">
            <w:pPr>
              <w:rPr>
                <w:rFonts w:ascii="Arial Narrow" w:hAnsi="Arial Narrow" w:cs="Calibri"/>
                <w:color w:val="000000"/>
                <w:sz w:val="20"/>
              </w:rPr>
            </w:pPr>
            <w:r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604C2A" w:rsidTr="00C952F3">
        <w:trPr>
          <w:trHeight w:val="1461"/>
        </w:trPr>
        <w:tc>
          <w:tcPr>
            <w:tcW w:w="1504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C2A" w:rsidRDefault="00604C2A" w:rsidP="009A5A1D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Major Obstetric Events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332476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332476">
              <w:rPr>
                <w:rFonts w:ascii="Arial Narrow" w:hAnsi="Arial Narrow"/>
                <w:sz w:val="20"/>
                <w:lang w:eastAsia="en-IE"/>
              </w:rPr>
              <w:t>Total combined rate (per 1,000 total mothers delivered) of major obstetric events for the following four obstetric metrics:</w:t>
            </w:r>
          </w:p>
          <w:p w:rsidR="00604C2A" w:rsidRPr="00332476" w:rsidRDefault="00604C2A" w:rsidP="00F20EF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lang w:eastAsia="en-IE"/>
              </w:rPr>
            </w:pPr>
            <w:r w:rsidRPr="00332476">
              <w:rPr>
                <w:rFonts w:ascii="Arial Narrow" w:hAnsi="Arial Narrow"/>
                <w:sz w:val="20"/>
                <w:lang w:eastAsia="en-IE"/>
              </w:rPr>
              <w:t xml:space="preserve">Eclampsia; </w:t>
            </w:r>
          </w:p>
          <w:p w:rsidR="00604C2A" w:rsidRPr="00332476" w:rsidRDefault="00604C2A" w:rsidP="00F20EF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lang w:eastAsia="en-IE"/>
              </w:rPr>
            </w:pPr>
            <w:r w:rsidRPr="00332476">
              <w:rPr>
                <w:rFonts w:ascii="Arial Narrow" w:hAnsi="Arial Narrow"/>
                <w:sz w:val="20"/>
                <w:lang w:eastAsia="en-IE"/>
              </w:rPr>
              <w:t xml:space="preserve">Uterine rupture; </w:t>
            </w:r>
          </w:p>
          <w:p w:rsidR="00604C2A" w:rsidRPr="00332476" w:rsidRDefault="00604C2A" w:rsidP="00F20EF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lang w:eastAsia="en-IE"/>
              </w:rPr>
            </w:pPr>
            <w:proofErr w:type="spellStart"/>
            <w:r w:rsidRPr="00332476">
              <w:rPr>
                <w:rFonts w:ascii="Arial Narrow" w:hAnsi="Arial Narrow"/>
                <w:sz w:val="20"/>
                <w:lang w:eastAsia="en-IE"/>
              </w:rPr>
              <w:t>Peripartum</w:t>
            </w:r>
            <w:proofErr w:type="spellEnd"/>
            <w:r w:rsidRPr="00332476">
              <w:rPr>
                <w:rFonts w:ascii="Arial Narrow" w:hAnsi="Arial Narrow"/>
                <w:sz w:val="20"/>
                <w:lang w:eastAsia="en-IE"/>
              </w:rPr>
              <w:t xml:space="preserve"> hysterectomy; and</w:t>
            </w:r>
          </w:p>
          <w:p w:rsidR="00604C2A" w:rsidRPr="00332476" w:rsidRDefault="00604C2A" w:rsidP="00F20EF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lang w:eastAsia="en-IE"/>
              </w:rPr>
            </w:pPr>
            <w:r w:rsidRPr="00332476">
              <w:rPr>
                <w:rFonts w:ascii="Arial Narrow" w:hAnsi="Arial Narrow"/>
                <w:sz w:val="20"/>
                <w:lang w:eastAsia="en-IE"/>
              </w:rPr>
              <w:t xml:space="preserve">Pulmonary embolism. 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6A7DD5" w:rsidRDefault="005F11D2" w:rsidP="008B5D49">
            <w:pPr>
              <w:rPr>
                <w:rFonts w:ascii="Arial Narrow" w:hAnsi="Arial Narrow" w:cs="Calibri"/>
                <w:sz w:val="20"/>
                <w:highlight w:val="yellow"/>
              </w:rPr>
            </w:pPr>
            <w:r>
              <w:rPr>
                <w:rFonts w:ascii="Arial Narrow" w:hAnsi="Arial Narrow" w:cs="Calibri"/>
                <w:sz w:val="20"/>
                <w:highlight w:val="yellow"/>
              </w:rPr>
              <w:t>pending</w:t>
            </w:r>
          </w:p>
          <w:p w:rsidR="005F3944" w:rsidRPr="006A7DD5" w:rsidRDefault="005F3944" w:rsidP="00F83C43">
            <w:pPr>
              <w:rPr>
                <w:rFonts w:ascii="Arial Narrow" w:hAnsi="Arial Narrow" w:cs="Calibri"/>
                <w:sz w:val="20"/>
                <w:highlight w:val="yellow"/>
              </w:rPr>
            </w:pPr>
          </w:p>
        </w:tc>
      </w:tr>
      <w:tr w:rsidR="00604C2A" w:rsidTr="00C952F3">
        <w:trPr>
          <w:trHeight w:val="478"/>
        </w:trPr>
        <w:tc>
          <w:tcPr>
            <w:tcW w:w="1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C2A" w:rsidRDefault="00604C2A" w:rsidP="002A311F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Delivery Metrics </w:t>
            </w:r>
          </w:p>
          <w:p w:rsidR="00604C2A" w:rsidRDefault="00604C2A" w:rsidP="002A311F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C2A" w:rsidRPr="00690E7E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>Rate of instrumental delivery per total mothers delivered (%)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2874" w:rsidRPr="0095065D" w:rsidRDefault="00254C50" w:rsidP="006A7DD5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</w:t>
            </w:r>
            <w:r w:rsidR="006A7DD5">
              <w:rPr>
                <w:rFonts w:ascii="Arial Narrow" w:hAnsi="Arial Narrow" w:cs="Calibri"/>
                <w:sz w:val="20"/>
              </w:rPr>
              <w:t>3.1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C2A" w:rsidRDefault="00604C2A" w:rsidP="002A311F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Rate of </w:t>
            </w:r>
            <w:proofErr w:type="spellStart"/>
            <w:r w:rsidRPr="0095065D">
              <w:rPr>
                <w:rFonts w:ascii="Arial Narrow" w:hAnsi="Arial Narrow"/>
                <w:sz w:val="20"/>
                <w:lang w:eastAsia="en-IE"/>
              </w:rPr>
              <w:t>nulliparas</w:t>
            </w:r>
            <w:proofErr w:type="spellEnd"/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 with instrumental delivery (%)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254C50" w:rsidP="00F62874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21.</w:t>
            </w:r>
            <w:r w:rsidR="006A7DD5">
              <w:rPr>
                <w:rFonts w:ascii="Arial Narrow" w:hAnsi="Arial Narrow" w:cs="Calibri"/>
                <w:sz w:val="20"/>
              </w:rPr>
              <w:t>1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C2A" w:rsidRDefault="00604C2A" w:rsidP="002A311F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Rate of multiparas with instrumental delivery (%)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8F2" w:rsidRPr="0095065D" w:rsidRDefault="006A7DD5" w:rsidP="00A05159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6.8</w:t>
            </w:r>
          </w:p>
        </w:tc>
      </w:tr>
      <w:tr w:rsidR="00604C2A" w:rsidTr="00C952F3">
        <w:trPr>
          <w:trHeight w:val="347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4C2A" w:rsidRDefault="00604C2A" w:rsidP="00EA5B03">
            <w:pPr>
              <w:pStyle w:val="Default"/>
              <w:ind w:left="4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C2A" w:rsidRPr="00690E7E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>Rate of induction of labour per total mothers delivered (%)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4C2A" w:rsidRPr="0095065D" w:rsidRDefault="00533E24" w:rsidP="00F20EFB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</w:t>
            </w:r>
            <w:r w:rsidR="006A7DD5">
              <w:rPr>
                <w:rFonts w:ascii="Arial Narrow" w:hAnsi="Arial Narrow" w:cs="Calibri"/>
                <w:sz w:val="20"/>
              </w:rPr>
              <w:t>4.1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C2A" w:rsidRDefault="00604C2A" w:rsidP="00EA5B03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690E7E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Rate of </w:t>
            </w:r>
            <w:proofErr w:type="spellStart"/>
            <w:r w:rsidRPr="0095065D">
              <w:rPr>
                <w:rFonts w:ascii="Arial Narrow" w:hAnsi="Arial Narrow"/>
                <w:sz w:val="20"/>
                <w:lang w:eastAsia="en-IE"/>
              </w:rPr>
              <w:t>nulliparas</w:t>
            </w:r>
            <w:proofErr w:type="spellEnd"/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 with induction of labour (%)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533E24" w:rsidP="00F62874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4</w:t>
            </w:r>
            <w:r w:rsidR="006A7DD5">
              <w:rPr>
                <w:rFonts w:ascii="Arial Narrow" w:hAnsi="Arial Narrow" w:cs="Calibri"/>
                <w:sz w:val="20"/>
              </w:rPr>
              <w:t>4.5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C2A" w:rsidRDefault="00604C2A" w:rsidP="00EA5B03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690E7E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>Rate of multiparas with induction of labour (%)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7D646A" w:rsidP="004818E2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2</w:t>
            </w:r>
            <w:r w:rsidR="006A7DD5">
              <w:rPr>
                <w:rFonts w:ascii="Arial Narrow" w:hAnsi="Arial Narrow" w:cs="Calibri"/>
                <w:sz w:val="20"/>
              </w:rPr>
              <w:t>7.0</w:t>
            </w:r>
          </w:p>
        </w:tc>
      </w:tr>
      <w:tr w:rsidR="00604C2A" w:rsidTr="00C952F3">
        <w:trPr>
          <w:trHeight w:val="287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C2A" w:rsidRDefault="00604C2A" w:rsidP="00EA5B03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C2A" w:rsidRPr="00690E7E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>Rate of Caesarean section per total mothers delivered (%)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4C2A" w:rsidRPr="0095065D" w:rsidRDefault="006A7DD5" w:rsidP="00031140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34.4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C2A" w:rsidRDefault="00604C2A" w:rsidP="00EA5B03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04C2A" w:rsidP="002B704F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Rate of </w:t>
            </w:r>
            <w:proofErr w:type="spellStart"/>
            <w:r w:rsidRPr="0095065D">
              <w:rPr>
                <w:rFonts w:ascii="Arial Narrow" w:hAnsi="Arial Narrow"/>
                <w:sz w:val="20"/>
                <w:lang w:eastAsia="en-IE"/>
              </w:rPr>
              <w:t>nulliparas</w:t>
            </w:r>
            <w:proofErr w:type="spellEnd"/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 with Caesarean section (%)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A7DD5" w:rsidP="00576078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37.3</w:t>
            </w:r>
          </w:p>
        </w:tc>
      </w:tr>
      <w:tr w:rsidR="00604C2A" w:rsidTr="00C952F3">
        <w:trPr>
          <w:trHeight w:val="478"/>
        </w:trPr>
        <w:tc>
          <w:tcPr>
            <w:tcW w:w="15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C2A" w:rsidRDefault="00604C2A" w:rsidP="00EA5B03">
            <w:pPr>
              <w:rPr>
                <w:rFonts w:ascii="Arial Narrow" w:eastAsia="Calibri" w:hAnsi="Arial Narrow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Default="00604C2A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04C2A" w:rsidP="00F20EFB">
            <w:pPr>
              <w:rPr>
                <w:rFonts w:ascii="Arial Narrow" w:hAnsi="Arial Narrow"/>
                <w:sz w:val="20"/>
                <w:lang w:eastAsia="en-IE"/>
              </w:rPr>
            </w:pPr>
            <w:r w:rsidRPr="0095065D">
              <w:rPr>
                <w:rFonts w:ascii="Arial Narrow" w:hAnsi="Arial Narrow"/>
                <w:sz w:val="20"/>
                <w:lang w:eastAsia="en-IE"/>
              </w:rPr>
              <w:t xml:space="preserve">Rate of multiparas with Caesarean section (%)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4C2A" w:rsidRPr="0095065D" w:rsidRDefault="006A7DD5" w:rsidP="008B5B99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32.4</w:t>
            </w:r>
          </w:p>
        </w:tc>
      </w:tr>
      <w:tr w:rsidR="00237E05" w:rsidTr="00C952F3">
        <w:trPr>
          <w:trHeight w:val="478"/>
        </w:trPr>
        <w:tc>
          <w:tcPr>
            <w:tcW w:w="1504" w:type="pct"/>
            <w:tcBorders>
              <w:left w:val="single" w:sz="4" w:space="0" w:color="000000"/>
              <w:right w:val="single" w:sz="4" w:space="0" w:color="000000"/>
            </w:tcBorders>
          </w:tcPr>
          <w:p w:rsidR="00237E05" w:rsidRDefault="00237E05" w:rsidP="00244435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Maternity Services Total Clinical Incidents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E05" w:rsidRPr="001C60FD" w:rsidRDefault="00237E05" w:rsidP="00F20EF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C60FD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E05" w:rsidRPr="00427103" w:rsidRDefault="00237E05" w:rsidP="002B704F">
            <w:pPr>
              <w:rPr>
                <w:rFonts w:ascii="Arial Narrow" w:hAnsi="Arial Narrow"/>
                <w:color w:val="000000"/>
                <w:sz w:val="20"/>
                <w:lang w:eastAsia="en-IE"/>
              </w:rPr>
            </w:pP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Total number of clinical incidents for </w:t>
            </w:r>
            <w:r w:rsidRPr="00565B72">
              <w:rPr>
                <w:rFonts w:ascii="Arial Narrow" w:hAnsi="Arial Narrow"/>
                <w:b/>
                <w:color w:val="000000"/>
                <w:sz w:val="20"/>
                <w:lang w:eastAsia="en-IE"/>
              </w:rPr>
              <w:t>Maternity Services</w:t>
            </w:r>
            <w:r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 (reported monthly to NIMS)</w:t>
            </w:r>
            <w:r w:rsidRPr="00486E3D">
              <w:rPr>
                <w:rFonts w:ascii="Arial Narrow" w:hAnsi="Arial Narrow"/>
                <w:color w:val="000000"/>
                <w:sz w:val="20"/>
                <w:lang w:eastAsia="en-IE"/>
              </w:rPr>
              <w:t xml:space="preserve"> (n)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59" w:rsidRPr="00CB6DC8" w:rsidRDefault="006A7DD5" w:rsidP="00F62874">
            <w:pPr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127</w:t>
            </w:r>
          </w:p>
        </w:tc>
      </w:tr>
    </w:tbl>
    <w:p w:rsidR="0058425D" w:rsidRPr="00EE7B7F" w:rsidRDefault="0058425D" w:rsidP="001C55F8">
      <w:pPr>
        <w:rPr>
          <w:rFonts w:ascii="Arial Narrow" w:hAnsi="Arial Narrow"/>
          <w:b/>
          <w:color w:val="FF0000"/>
          <w:sz w:val="20"/>
          <w:lang w:eastAsia="en-IE"/>
        </w:rPr>
      </w:pPr>
      <w:r w:rsidRPr="00EE7B7F">
        <w:rPr>
          <w:rFonts w:ascii="Arial Narrow" w:hAnsi="Arial Narrow"/>
          <w:b/>
          <w:color w:val="FF0000"/>
          <w:sz w:val="20"/>
          <w:lang w:eastAsia="en-IE"/>
        </w:rPr>
        <w:t xml:space="preserve">All figures are draft as we </w:t>
      </w:r>
      <w:r w:rsidR="006E137B">
        <w:rPr>
          <w:rFonts w:ascii="Arial Narrow" w:hAnsi="Arial Narrow"/>
          <w:b/>
          <w:color w:val="FF0000"/>
          <w:sz w:val="20"/>
          <w:lang w:eastAsia="en-IE"/>
        </w:rPr>
        <w:t xml:space="preserve">continue to test </w:t>
      </w:r>
      <w:r w:rsidRPr="00EE7B7F">
        <w:rPr>
          <w:rFonts w:ascii="Arial Narrow" w:hAnsi="Arial Narrow"/>
          <w:b/>
          <w:color w:val="FF0000"/>
          <w:sz w:val="20"/>
          <w:lang w:eastAsia="en-IE"/>
        </w:rPr>
        <w:t>Reporting on the new MN-CMS i</w:t>
      </w:r>
      <w:r w:rsidR="0039185F">
        <w:rPr>
          <w:rFonts w:ascii="Arial Narrow" w:hAnsi="Arial Narrow"/>
          <w:b/>
          <w:color w:val="FF0000"/>
          <w:sz w:val="20"/>
          <w:lang w:eastAsia="en-IE"/>
        </w:rPr>
        <w:t xml:space="preserve">ntroduced </w:t>
      </w:r>
      <w:r w:rsidRPr="00EE7B7F">
        <w:rPr>
          <w:rFonts w:ascii="Arial Narrow" w:hAnsi="Arial Narrow"/>
          <w:b/>
          <w:color w:val="FF0000"/>
          <w:sz w:val="20"/>
          <w:lang w:eastAsia="en-IE"/>
        </w:rPr>
        <w:t xml:space="preserve">in January 2018. </w:t>
      </w:r>
    </w:p>
    <w:p w:rsidR="00582D4C" w:rsidRDefault="00582D4C" w:rsidP="001C55F8">
      <w:pPr>
        <w:rPr>
          <w:rFonts w:ascii="Arial Narrow" w:hAnsi="Arial Narrow"/>
          <w:b/>
          <w:color w:val="000000"/>
          <w:sz w:val="20"/>
          <w:u w:val="single"/>
          <w:lang w:eastAsia="en-IE"/>
        </w:rPr>
      </w:pPr>
    </w:p>
    <w:p w:rsidR="001C55F8" w:rsidRPr="00FB20A1" w:rsidRDefault="001C55F8" w:rsidP="001C55F8">
      <w:pPr>
        <w:rPr>
          <w:rFonts w:ascii="Arial Narrow" w:hAnsi="Arial Narrow"/>
          <w:b/>
          <w:color w:val="000000"/>
          <w:sz w:val="20"/>
          <w:u w:val="single"/>
          <w:lang w:eastAsia="en-IE"/>
        </w:rPr>
      </w:pPr>
      <w:r>
        <w:rPr>
          <w:rFonts w:ascii="Arial Narrow" w:hAnsi="Arial Narrow"/>
          <w:b/>
          <w:color w:val="000000"/>
          <w:sz w:val="20"/>
          <w:u w:val="single"/>
          <w:lang w:eastAsia="en-IE"/>
        </w:rPr>
        <w:t>DEFINITIONS</w:t>
      </w:r>
    </w:p>
    <w:p w:rsidR="001C55F8" w:rsidRDefault="001C55F8" w:rsidP="001C55F8">
      <w:pPr>
        <w:rPr>
          <w:rFonts w:ascii="Arial Narrow" w:hAnsi="Arial Narrow"/>
          <w:color w:val="000000"/>
          <w:sz w:val="20"/>
          <w:lang w:eastAsia="en-IE"/>
        </w:rPr>
      </w:pPr>
      <w:r w:rsidRPr="006A1404">
        <w:rPr>
          <w:rFonts w:ascii="Arial Narrow" w:hAnsi="Arial Narrow"/>
          <w:color w:val="000000"/>
          <w:sz w:val="20"/>
          <w:lang w:eastAsia="en-IE"/>
        </w:rPr>
        <w:t>(n)</w:t>
      </w:r>
      <w:r>
        <w:rPr>
          <w:rFonts w:ascii="Arial Narrow" w:hAnsi="Arial Narrow"/>
          <w:color w:val="000000"/>
          <w:sz w:val="20"/>
          <w:lang w:eastAsia="en-IE"/>
        </w:rPr>
        <w:t xml:space="preserve"> = Number</w:t>
      </w:r>
    </w:p>
    <w:p w:rsidR="001C55F8" w:rsidRDefault="001C55F8" w:rsidP="001C55F8">
      <w:pPr>
        <w:rPr>
          <w:rFonts w:ascii="Arial Narrow" w:hAnsi="Arial Narrow"/>
          <w:color w:val="000000"/>
          <w:sz w:val="20"/>
          <w:lang w:eastAsia="en-IE"/>
        </w:rPr>
      </w:pPr>
      <w:proofErr w:type="spellStart"/>
      <w:r w:rsidRPr="00FB20A1">
        <w:rPr>
          <w:rFonts w:ascii="Arial Narrow" w:hAnsi="Arial Narrow"/>
          <w:color w:val="000000"/>
          <w:sz w:val="20"/>
          <w:lang w:eastAsia="en-IE"/>
        </w:rPr>
        <w:t>Nullipar</w:t>
      </w:r>
      <w:r w:rsidR="00CF7190">
        <w:rPr>
          <w:rFonts w:ascii="Arial Narrow" w:hAnsi="Arial Narrow"/>
          <w:color w:val="000000"/>
          <w:sz w:val="20"/>
          <w:lang w:eastAsia="en-IE"/>
        </w:rPr>
        <w:t>as</w:t>
      </w:r>
      <w:proofErr w:type="spellEnd"/>
      <w:r w:rsidRPr="00FB20A1">
        <w:rPr>
          <w:rFonts w:ascii="Arial Narrow" w:hAnsi="Arial Narrow"/>
          <w:color w:val="000000"/>
          <w:sz w:val="20"/>
          <w:lang w:eastAsia="en-IE"/>
        </w:rPr>
        <w:t xml:space="preserve"> = </w:t>
      </w:r>
      <w:r w:rsidR="00CF7190">
        <w:rPr>
          <w:rFonts w:ascii="Arial Narrow" w:hAnsi="Arial Narrow"/>
          <w:color w:val="000000"/>
          <w:sz w:val="20"/>
          <w:lang w:eastAsia="en-IE"/>
        </w:rPr>
        <w:t>W</w:t>
      </w:r>
      <w:r w:rsidRPr="00FB20A1">
        <w:rPr>
          <w:rFonts w:ascii="Arial Narrow" w:hAnsi="Arial Narrow"/>
          <w:color w:val="000000"/>
          <w:sz w:val="20"/>
          <w:lang w:eastAsia="en-IE"/>
        </w:rPr>
        <w:t>omen who have never had a previous pregnancy resulting in a live birth or stillbirth (≥ 500g)</w:t>
      </w:r>
    </w:p>
    <w:p w:rsidR="00CF7190" w:rsidRDefault="001C55F8" w:rsidP="001C55F8">
      <w:pPr>
        <w:rPr>
          <w:rFonts w:ascii="Arial Narrow" w:hAnsi="Arial Narrow"/>
          <w:color w:val="000000"/>
          <w:sz w:val="20"/>
          <w:lang w:eastAsia="en-IE"/>
        </w:rPr>
      </w:pPr>
      <w:r w:rsidRPr="00FB20A1">
        <w:rPr>
          <w:rFonts w:ascii="Arial Narrow" w:hAnsi="Arial Narrow"/>
          <w:color w:val="000000"/>
          <w:sz w:val="20"/>
          <w:lang w:eastAsia="en-IE"/>
        </w:rPr>
        <w:t>Multipa</w:t>
      </w:r>
      <w:r w:rsidR="00CF7190">
        <w:rPr>
          <w:rFonts w:ascii="Arial Narrow" w:hAnsi="Arial Narrow"/>
          <w:color w:val="000000"/>
          <w:sz w:val="20"/>
          <w:lang w:eastAsia="en-IE"/>
        </w:rPr>
        <w:t>ra</w:t>
      </w:r>
      <w:r w:rsidRPr="00FB20A1">
        <w:rPr>
          <w:rFonts w:ascii="Arial Narrow" w:hAnsi="Arial Narrow"/>
          <w:color w:val="000000"/>
          <w:sz w:val="20"/>
          <w:lang w:eastAsia="en-IE"/>
        </w:rPr>
        <w:t xml:space="preserve">s = </w:t>
      </w:r>
      <w:r w:rsidR="00CF7190">
        <w:rPr>
          <w:rFonts w:ascii="Arial Narrow" w:hAnsi="Arial Narrow"/>
          <w:color w:val="000000"/>
          <w:sz w:val="20"/>
          <w:lang w:eastAsia="en-IE"/>
        </w:rPr>
        <w:t>W</w:t>
      </w:r>
      <w:r w:rsidRPr="00FB20A1">
        <w:rPr>
          <w:rFonts w:ascii="Arial Narrow" w:hAnsi="Arial Narrow"/>
          <w:color w:val="000000"/>
          <w:sz w:val="20"/>
          <w:lang w:eastAsia="en-IE"/>
        </w:rPr>
        <w:t>omen who have had at least one previous pregnancy resulting in a live birth or stillbirth (≥ 500g)</w:t>
      </w:r>
    </w:p>
    <w:p w:rsidR="0080695F" w:rsidRPr="0080695F" w:rsidRDefault="0080695F" w:rsidP="001C55F8">
      <w:pPr>
        <w:rPr>
          <w:rFonts w:ascii="Arial Narrow" w:hAnsi="Arial Narrow"/>
          <w:i/>
          <w:color w:val="FF0000"/>
          <w:sz w:val="20"/>
          <w:lang w:eastAsia="en-IE"/>
        </w:rPr>
      </w:pPr>
    </w:p>
    <w:p w:rsidR="00873169" w:rsidRPr="00873169" w:rsidRDefault="00C64EF5" w:rsidP="00592920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color w:val="000000"/>
          <w:sz w:val="24"/>
          <w:szCs w:val="28"/>
          <w:lang w:eastAsia="en-IE"/>
        </w:rPr>
        <w:t>Prof Shane Higgins</w:t>
      </w:r>
      <w:r w:rsidR="008644B4">
        <w:rPr>
          <w:rFonts w:ascii="Arial Narrow" w:hAnsi="Arial Narrow"/>
          <w:b/>
          <w:color w:val="000000"/>
          <w:sz w:val="24"/>
          <w:szCs w:val="28"/>
          <w:lang w:eastAsia="en-IE"/>
        </w:rPr>
        <w:t xml:space="preserve">, </w:t>
      </w:r>
      <w:r w:rsidR="00873169" w:rsidRPr="00873169">
        <w:rPr>
          <w:rFonts w:ascii="Arial Narrow" w:hAnsi="Arial Narrow"/>
          <w:b/>
          <w:color w:val="000000"/>
          <w:sz w:val="24"/>
          <w:szCs w:val="28"/>
          <w:lang w:eastAsia="en-IE"/>
        </w:rPr>
        <w:t xml:space="preserve">Master </w:t>
      </w:r>
    </w:p>
    <w:sectPr w:rsidR="00873169" w:rsidRPr="00873169" w:rsidSect="008644B4">
      <w:footerReference w:type="default" r:id="rId8"/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4D" w:rsidRDefault="00123F4D" w:rsidP="008F4822">
      <w:r>
        <w:separator/>
      </w:r>
    </w:p>
  </w:endnote>
  <w:endnote w:type="continuationSeparator" w:id="0">
    <w:p w:rsidR="00123F4D" w:rsidRDefault="00123F4D" w:rsidP="008F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8C" w:rsidRDefault="009A4C8C">
    <w:pPr>
      <w:pStyle w:val="Footer"/>
    </w:pPr>
  </w:p>
  <w:p w:rsidR="009A4C8C" w:rsidRDefault="009A4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4D" w:rsidRDefault="00123F4D" w:rsidP="008F4822">
      <w:r>
        <w:separator/>
      </w:r>
    </w:p>
  </w:footnote>
  <w:footnote w:type="continuationSeparator" w:id="0">
    <w:p w:rsidR="00123F4D" w:rsidRDefault="00123F4D" w:rsidP="008F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A76"/>
    <w:multiLevelType w:val="hybridMultilevel"/>
    <w:tmpl w:val="A73C58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A7DC3"/>
    <w:multiLevelType w:val="hybridMultilevel"/>
    <w:tmpl w:val="3634F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025F"/>
    <w:multiLevelType w:val="hybridMultilevel"/>
    <w:tmpl w:val="B7DE32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95"/>
    <w:rsid w:val="000040DF"/>
    <w:rsid w:val="000046D2"/>
    <w:rsid w:val="00004F7E"/>
    <w:rsid w:val="000054EC"/>
    <w:rsid w:val="0000659D"/>
    <w:rsid w:val="00011521"/>
    <w:rsid w:val="00014BDC"/>
    <w:rsid w:val="000263A5"/>
    <w:rsid w:val="00031140"/>
    <w:rsid w:val="000330DB"/>
    <w:rsid w:val="00033660"/>
    <w:rsid w:val="0003500D"/>
    <w:rsid w:val="000362AC"/>
    <w:rsid w:val="0003681D"/>
    <w:rsid w:val="0004075C"/>
    <w:rsid w:val="0004089D"/>
    <w:rsid w:val="00041F5C"/>
    <w:rsid w:val="000474AD"/>
    <w:rsid w:val="0005381F"/>
    <w:rsid w:val="000569FF"/>
    <w:rsid w:val="000606B3"/>
    <w:rsid w:val="000618A4"/>
    <w:rsid w:val="00065419"/>
    <w:rsid w:val="000660CE"/>
    <w:rsid w:val="00075C64"/>
    <w:rsid w:val="0007671D"/>
    <w:rsid w:val="000922B2"/>
    <w:rsid w:val="00095E14"/>
    <w:rsid w:val="000A2089"/>
    <w:rsid w:val="000A235A"/>
    <w:rsid w:val="000A3B65"/>
    <w:rsid w:val="000A77ED"/>
    <w:rsid w:val="000B020A"/>
    <w:rsid w:val="000B1393"/>
    <w:rsid w:val="000B19E2"/>
    <w:rsid w:val="000B203B"/>
    <w:rsid w:val="000B37FC"/>
    <w:rsid w:val="000C0B3E"/>
    <w:rsid w:val="000C0B42"/>
    <w:rsid w:val="000C4B1D"/>
    <w:rsid w:val="000C53EB"/>
    <w:rsid w:val="000D4520"/>
    <w:rsid w:val="000D512F"/>
    <w:rsid w:val="000E4200"/>
    <w:rsid w:val="000F027F"/>
    <w:rsid w:val="000F0BE3"/>
    <w:rsid w:val="000F2658"/>
    <w:rsid w:val="000F2C39"/>
    <w:rsid w:val="000F6938"/>
    <w:rsid w:val="000F7968"/>
    <w:rsid w:val="00100B85"/>
    <w:rsid w:val="001010A7"/>
    <w:rsid w:val="001026A7"/>
    <w:rsid w:val="001037EB"/>
    <w:rsid w:val="00103EB9"/>
    <w:rsid w:val="001119CE"/>
    <w:rsid w:val="00113513"/>
    <w:rsid w:val="00114874"/>
    <w:rsid w:val="00115838"/>
    <w:rsid w:val="00117BAC"/>
    <w:rsid w:val="00123CD2"/>
    <w:rsid w:val="00123F4D"/>
    <w:rsid w:val="001249A7"/>
    <w:rsid w:val="00126C56"/>
    <w:rsid w:val="00126FA2"/>
    <w:rsid w:val="00127CC3"/>
    <w:rsid w:val="0013375C"/>
    <w:rsid w:val="00136F37"/>
    <w:rsid w:val="00137A8C"/>
    <w:rsid w:val="001468B5"/>
    <w:rsid w:val="00150B11"/>
    <w:rsid w:val="001537A5"/>
    <w:rsid w:val="00153FDF"/>
    <w:rsid w:val="0016246D"/>
    <w:rsid w:val="00163487"/>
    <w:rsid w:val="00163D54"/>
    <w:rsid w:val="001679EA"/>
    <w:rsid w:val="001709D7"/>
    <w:rsid w:val="00184965"/>
    <w:rsid w:val="00185851"/>
    <w:rsid w:val="00185C8B"/>
    <w:rsid w:val="00186F5E"/>
    <w:rsid w:val="001905D0"/>
    <w:rsid w:val="00193579"/>
    <w:rsid w:val="001954D0"/>
    <w:rsid w:val="001968E4"/>
    <w:rsid w:val="00197453"/>
    <w:rsid w:val="001A54F8"/>
    <w:rsid w:val="001A783A"/>
    <w:rsid w:val="001B4447"/>
    <w:rsid w:val="001B6E82"/>
    <w:rsid w:val="001B7782"/>
    <w:rsid w:val="001C1C79"/>
    <w:rsid w:val="001C324D"/>
    <w:rsid w:val="001C55F8"/>
    <w:rsid w:val="001C60FD"/>
    <w:rsid w:val="001D2A87"/>
    <w:rsid w:val="001D78AC"/>
    <w:rsid w:val="001E0062"/>
    <w:rsid w:val="001E6330"/>
    <w:rsid w:val="001E6F03"/>
    <w:rsid w:val="001F02CD"/>
    <w:rsid w:val="001F2A1D"/>
    <w:rsid w:val="001F35A5"/>
    <w:rsid w:val="00200371"/>
    <w:rsid w:val="00203B1E"/>
    <w:rsid w:val="0020506E"/>
    <w:rsid w:val="0020574F"/>
    <w:rsid w:val="00232174"/>
    <w:rsid w:val="00232A32"/>
    <w:rsid w:val="0023366F"/>
    <w:rsid w:val="00233951"/>
    <w:rsid w:val="002347C0"/>
    <w:rsid w:val="00235C6C"/>
    <w:rsid w:val="00237E05"/>
    <w:rsid w:val="0024070F"/>
    <w:rsid w:val="00244435"/>
    <w:rsid w:val="00246FCA"/>
    <w:rsid w:val="00253270"/>
    <w:rsid w:val="00254C50"/>
    <w:rsid w:val="00255B7E"/>
    <w:rsid w:val="00255BE8"/>
    <w:rsid w:val="00256D4B"/>
    <w:rsid w:val="00267370"/>
    <w:rsid w:val="002708D8"/>
    <w:rsid w:val="00275DA6"/>
    <w:rsid w:val="0027654A"/>
    <w:rsid w:val="002775A6"/>
    <w:rsid w:val="00277DAC"/>
    <w:rsid w:val="00283DD2"/>
    <w:rsid w:val="00296071"/>
    <w:rsid w:val="002A03B8"/>
    <w:rsid w:val="002A23FF"/>
    <w:rsid w:val="002A311F"/>
    <w:rsid w:val="002A361F"/>
    <w:rsid w:val="002B6E55"/>
    <w:rsid w:val="002B704F"/>
    <w:rsid w:val="002C2E59"/>
    <w:rsid w:val="002C3CB6"/>
    <w:rsid w:val="002C4917"/>
    <w:rsid w:val="002C75B9"/>
    <w:rsid w:val="002F2772"/>
    <w:rsid w:val="002F5D86"/>
    <w:rsid w:val="002F63C8"/>
    <w:rsid w:val="002F725B"/>
    <w:rsid w:val="00303182"/>
    <w:rsid w:val="00304193"/>
    <w:rsid w:val="003047CF"/>
    <w:rsid w:val="003051A0"/>
    <w:rsid w:val="00312C90"/>
    <w:rsid w:val="00313B7B"/>
    <w:rsid w:val="00314716"/>
    <w:rsid w:val="0031475E"/>
    <w:rsid w:val="003213D3"/>
    <w:rsid w:val="00321890"/>
    <w:rsid w:val="00322D89"/>
    <w:rsid w:val="00324F9B"/>
    <w:rsid w:val="00330025"/>
    <w:rsid w:val="00332476"/>
    <w:rsid w:val="00334AB8"/>
    <w:rsid w:val="00336BAD"/>
    <w:rsid w:val="00343403"/>
    <w:rsid w:val="00346D99"/>
    <w:rsid w:val="0035254B"/>
    <w:rsid w:val="00357314"/>
    <w:rsid w:val="0036063D"/>
    <w:rsid w:val="0036702D"/>
    <w:rsid w:val="0037317C"/>
    <w:rsid w:val="00373304"/>
    <w:rsid w:val="00384825"/>
    <w:rsid w:val="00386FDC"/>
    <w:rsid w:val="0039185F"/>
    <w:rsid w:val="00395D8C"/>
    <w:rsid w:val="003A1005"/>
    <w:rsid w:val="003A1119"/>
    <w:rsid w:val="003A11DE"/>
    <w:rsid w:val="003A3E7A"/>
    <w:rsid w:val="003A4624"/>
    <w:rsid w:val="003B77FE"/>
    <w:rsid w:val="003B7CC1"/>
    <w:rsid w:val="003C0276"/>
    <w:rsid w:val="003C2715"/>
    <w:rsid w:val="003C2AEB"/>
    <w:rsid w:val="003C5D9B"/>
    <w:rsid w:val="003D041F"/>
    <w:rsid w:val="003D25FA"/>
    <w:rsid w:val="003D4F83"/>
    <w:rsid w:val="003D5139"/>
    <w:rsid w:val="003E3097"/>
    <w:rsid w:val="003E6197"/>
    <w:rsid w:val="003E65B0"/>
    <w:rsid w:val="003E694E"/>
    <w:rsid w:val="003F2B0E"/>
    <w:rsid w:val="003F3285"/>
    <w:rsid w:val="003F36AD"/>
    <w:rsid w:val="003F44DB"/>
    <w:rsid w:val="00402D58"/>
    <w:rsid w:val="00403A45"/>
    <w:rsid w:val="00406039"/>
    <w:rsid w:val="0040651D"/>
    <w:rsid w:val="00413447"/>
    <w:rsid w:val="00413534"/>
    <w:rsid w:val="0042187C"/>
    <w:rsid w:val="00423F26"/>
    <w:rsid w:val="004248DC"/>
    <w:rsid w:val="00427103"/>
    <w:rsid w:val="00427281"/>
    <w:rsid w:val="00430FA8"/>
    <w:rsid w:val="004315CD"/>
    <w:rsid w:val="00431A42"/>
    <w:rsid w:val="004356FF"/>
    <w:rsid w:val="0044183B"/>
    <w:rsid w:val="00451401"/>
    <w:rsid w:val="004570F2"/>
    <w:rsid w:val="00463E56"/>
    <w:rsid w:val="00465C53"/>
    <w:rsid w:val="00472687"/>
    <w:rsid w:val="00475421"/>
    <w:rsid w:val="00476796"/>
    <w:rsid w:val="0047786F"/>
    <w:rsid w:val="004818E2"/>
    <w:rsid w:val="00486E3D"/>
    <w:rsid w:val="00487F19"/>
    <w:rsid w:val="0049489D"/>
    <w:rsid w:val="004A02BB"/>
    <w:rsid w:val="004A55B5"/>
    <w:rsid w:val="004B2ED0"/>
    <w:rsid w:val="004B5563"/>
    <w:rsid w:val="004C3E1A"/>
    <w:rsid w:val="004C5AAA"/>
    <w:rsid w:val="004C7D52"/>
    <w:rsid w:val="004D39ED"/>
    <w:rsid w:val="004D6702"/>
    <w:rsid w:val="004E4ABF"/>
    <w:rsid w:val="004E5CE9"/>
    <w:rsid w:val="004F1602"/>
    <w:rsid w:val="004F1789"/>
    <w:rsid w:val="004F5372"/>
    <w:rsid w:val="005029B8"/>
    <w:rsid w:val="00502B7B"/>
    <w:rsid w:val="005033F2"/>
    <w:rsid w:val="005078BB"/>
    <w:rsid w:val="005135AC"/>
    <w:rsid w:val="00517F70"/>
    <w:rsid w:val="00520414"/>
    <w:rsid w:val="00522951"/>
    <w:rsid w:val="00523F12"/>
    <w:rsid w:val="0052536C"/>
    <w:rsid w:val="00525848"/>
    <w:rsid w:val="00525D02"/>
    <w:rsid w:val="00525DB5"/>
    <w:rsid w:val="005305E7"/>
    <w:rsid w:val="005335E8"/>
    <w:rsid w:val="00533E24"/>
    <w:rsid w:val="00535D83"/>
    <w:rsid w:val="00544019"/>
    <w:rsid w:val="00544565"/>
    <w:rsid w:val="00545B75"/>
    <w:rsid w:val="00554389"/>
    <w:rsid w:val="005546A4"/>
    <w:rsid w:val="005562A7"/>
    <w:rsid w:val="00560374"/>
    <w:rsid w:val="00564873"/>
    <w:rsid w:val="00565B72"/>
    <w:rsid w:val="005754B2"/>
    <w:rsid w:val="00575C74"/>
    <w:rsid w:val="00576078"/>
    <w:rsid w:val="00580E59"/>
    <w:rsid w:val="00582D4C"/>
    <w:rsid w:val="0058425D"/>
    <w:rsid w:val="00584C97"/>
    <w:rsid w:val="005853FB"/>
    <w:rsid w:val="00590A18"/>
    <w:rsid w:val="00590AEE"/>
    <w:rsid w:val="00592920"/>
    <w:rsid w:val="005A25A1"/>
    <w:rsid w:val="005A463D"/>
    <w:rsid w:val="005A710E"/>
    <w:rsid w:val="005B1DB1"/>
    <w:rsid w:val="005B363D"/>
    <w:rsid w:val="005B4268"/>
    <w:rsid w:val="005C3D29"/>
    <w:rsid w:val="005C73EF"/>
    <w:rsid w:val="005D36BC"/>
    <w:rsid w:val="005E0708"/>
    <w:rsid w:val="005E11BE"/>
    <w:rsid w:val="005E1416"/>
    <w:rsid w:val="005E1865"/>
    <w:rsid w:val="005E75FB"/>
    <w:rsid w:val="005F11D2"/>
    <w:rsid w:val="005F127D"/>
    <w:rsid w:val="005F3944"/>
    <w:rsid w:val="005F6317"/>
    <w:rsid w:val="005F7337"/>
    <w:rsid w:val="00600C43"/>
    <w:rsid w:val="00604C2A"/>
    <w:rsid w:val="00606A2E"/>
    <w:rsid w:val="006163F8"/>
    <w:rsid w:val="00621A69"/>
    <w:rsid w:val="006220D2"/>
    <w:rsid w:val="00624302"/>
    <w:rsid w:val="006255F4"/>
    <w:rsid w:val="00626000"/>
    <w:rsid w:val="00634E57"/>
    <w:rsid w:val="00634E99"/>
    <w:rsid w:val="00635830"/>
    <w:rsid w:val="00636C03"/>
    <w:rsid w:val="006452E1"/>
    <w:rsid w:val="00645FBA"/>
    <w:rsid w:val="0064757B"/>
    <w:rsid w:val="00650C4C"/>
    <w:rsid w:val="00654B7B"/>
    <w:rsid w:val="006551DD"/>
    <w:rsid w:val="00660F91"/>
    <w:rsid w:val="00662AF4"/>
    <w:rsid w:val="00667EA9"/>
    <w:rsid w:val="0068264D"/>
    <w:rsid w:val="00685439"/>
    <w:rsid w:val="00690586"/>
    <w:rsid w:val="00690E7E"/>
    <w:rsid w:val="006919B1"/>
    <w:rsid w:val="00693ECC"/>
    <w:rsid w:val="006948DF"/>
    <w:rsid w:val="006959EB"/>
    <w:rsid w:val="00696EAF"/>
    <w:rsid w:val="006A2F58"/>
    <w:rsid w:val="006A3F18"/>
    <w:rsid w:val="006A7DD5"/>
    <w:rsid w:val="006B0706"/>
    <w:rsid w:val="006C00A8"/>
    <w:rsid w:val="006C0C5C"/>
    <w:rsid w:val="006D08EB"/>
    <w:rsid w:val="006D694D"/>
    <w:rsid w:val="006D7E31"/>
    <w:rsid w:val="006E137B"/>
    <w:rsid w:val="006E4BCA"/>
    <w:rsid w:val="006E71C8"/>
    <w:rsid w:val="006F5940"/>
    <w:rsid w:val="006F6D8A"/>
    <w:rsid w:val="007035B9"/>
    <w:rsid w:val="0070498E"/>
    <w:rsid w:val="007112E9"/>
    <w:rsid w:val="0071190D"/>
    <w:rsid w:val="00711E9A"/>
    <w:rsid w:val="00717906"/>
    <w:rsid w:val="00720683"/>
    <w:rsid w:val="00722BC1"/>
    <w:rsid w:val="007417F1"/>
    <w:rsid w:val="00742BAA"/>
    <w:rsid w:val="00743653"/>
    <w:rsid w:val="007444A5"/>
    <w:rsid w:val="00752B01"/>
    <w:rsid w:val="00754B5D"/>
    <w:rsid w:val="00754DDF"/>
    <w:rsid w:val="007553F7"/>
    <w:rsid w:val="00756084"/>
    <w:rsid w:val="007643B6"/>
    <w:rsid w:val="00764752"/>
    <w:rsid w:val="00775BF5"/>
    <w:rsid w:val="00780792"/>
    <w:rsid w:val="00793F58"/>
    <w:rsid w:val="007950E4"/>
    <w:rsid w:val="00796830"/>
    <w:rsid w:val="007A2563"/>
    <w:rsid w:val="007A2F2E"/>
    <w:rsid w:val="007A5CB2"/>
    <w:rsid w:val="007B096C"/>
    <w:rsid w:val="007B1ADA"/>
    <w:rsid w:val="007C0994"/>
    <w:rsid w:val="007C0BB1"/>
    <w:rsid w:val="007C7174"/>
    <w:rsid w:val="007D646A"/>
    <w:rsid w:val="007E1D5A"/>
    <w:rsid w:val="007E5149"/>
    <w:rsid w:val="007F3A7C"/>
    <w:rsid w:val="007F401F"/>
    <w:rsid w:val="00800435"/>
    <w:rsid w:val="00805CE0"/>
    <w:rsid w:val="008065B7"/>
    <w:rsid w:val="0080695F"/>
    <w:rsid w:val="00807033"/>
    <w:rsid w:val="008227E7"/>
    <w:rsid w:val="008307C3"/>
    <w:rsid w:val="00830CC3"/>
    <w:rsid w:val="00831B77"/>
    <w:rsid w:val="00843D83"/>
    <w:rsid w:val="008446CC"/>
    <w:rsid w:val="0085174F"/>
    <w:rsid w:val="00852D31"/>
    <w:rsid w:val="00853BF4"/>
    <w:rsid w:val="00862CDE"/>
    <w:rsid w:val="008644B4"/>
    <w:rsid w:val="0086476D"/>
    <w:rsid w:val="008648D6"/>
    <w:rsid w:val="008669D6"/>
    <w:rsid w:val="00873169"/>
    <w:rsid w:val="0087640B"/>
    <w:rsid w:val="00880C77"/>
    <w:rsid w:val="0088108D"/>
    <w:rsid w:val="00883141"/>
    <w:rsid w:val="00895185"/>
    <w:rsid w:val="008A0130"/>
    <w:rsid w:val="008A0A21"/>
    <w:rsid w:val="008A57FB"/>
    <w:rsid w:val="008B0FE7"/>
    <w:rsid w:val="008B373C"/>
    <w:rsid w:val="008B3A4E"/>
    <w:rsid w:val="008B5B99"/>
    <w:rsid w:val="008B5D49"/>
    <w:rsid w:val="008C03EC"/>
    <w:rsid w:val="008C074F"/>
    <w:rsid w:val="008C1702"/>
    <w:rsid w:val="008C7480"/>
    <w:rsid w:val="008D0B09"/>
    <w:rsid w:val="008D1EEC"/>
    <w:rsid w:val="008D3342"/>
    <w:rsid w:val="008D345C"/>
    <w:rsid w:val="008D5664"/>
    <w:rsid w:val="008E0189"/>
    <w:rsid w:val="008E16FE"/>
    <w:rsid w:val="008E2D31"/>
    <w:rsid w:val="008E40CC"/>
    <w:rsid w:val="008F10A2"/>
    <w:rsid w:val="008F19D5"/>
    <w:rsid w:val="008F4822"/>
    <w:rsid w:val="008F6C91"/>
    <w:rsid w:val="00901885"/>
    <w:rsid w:val="00901D26"/>
    <w:rsid w:val="009041C4"/>
    <w:rsid w:val="00904964"/>
    <w:rsid w:val="00907E93"/>
    <w:rsid w:val="00917B71"/>
    <w:rsid w:val="009249EE"/>
    <w:rsid w:val="00924F09"/>
    <w:rsid w:val="00926C5F"/>
    <w:rsid w:val="00927C1D"/>
    <w:rsid w:val="00930766"/>
    <w:rsid w:val="00933337"/>
    <w:rsid w:val="009345F5"/>
    <w:rsid w:val="00941113"/>
    <w:rsid w:val="0095065D"/>
    <w:rsid w:val="00953F70"/>
    <w:rsid w:val="00963909"/>
    <w:rsid w:val="00967FE5"/>
    <w:rsid w:val="009719F0"/>
    <w:rsid w:val="009810E3"/>
    <w:rsid w:val="00984A21"/>
    <w:rsid w:val="009A4C8C"/>
    <w:rsid w:val="009A5A1D"/>
    <w:rsid w:val="009A7AAA"/>
    <w:rsid w:val="009B003F"/>
    <w:rsid w:val="009B0F8B"/>
    <w:rsid w:val="009B11C4"/>
    <w:rsid w:val="009B3FA0"/>
    <w:rsid w:val="009B547E"/>
    <w:rsid w:val="009B6BC4"/>
    <w:rsid w:val="009B730D"/>
    <w:rsid w:val="009C1E9C"/>
    <w:rsid w:val="009C3A42"/>
    <w:rsid w:val="009C4CDA"/>
    <w:rsid w:val="009C66E1"/>
    <w:rsid w:val="009C6756"/>
    <w:rsid w:val="009D08EF"/>
    <w:rsid w:val="009D2C5A"/>
    <w:rsid w:val="009D2F94"/>
    <w:rsid w:val="009D3E77"/>
    <w:rsid w:val="009D3EF6"/>
    <w:rsid w:val="009D7A7F"/>
    <w:rsid w:val="009E652C"/>
    <w:rsid w:val="009F2B79"/>
    <w:rsid w:val="009F3330"/>
    <w:rsid w:val="009F7FFD"/>
    <w:rsid w:val="00A05159"/>
    <w:rsid w:val="00A14968"/>
    <w:rsid w:val="00A155F9"/>
    <w:rsid w:val="00A171ED"/>
    <w:rsid w:val="00A17A12"/>
    <w:rsid w:val="00A23103"/>
    <w:rsid w:val="00A36746"/>
    <w:rsid w:val="00A37596"/>
    <w:rsid w:val="00A40AB5"/>
    <w:rsid w:val="00A41ACB"/>
    <w:rsid w:val="00A42BE9"/>
    <w:rsid w:val="00A5370E"/>
    <w:rsid w:val="00A54E97"/>
    <w:rsid w:val="00A57FFE"/>
    <w:rsid w:val="00A637DC"/>
    <w:rsid w:val="00A64643"/>
    <w:rsid w:val="00A70BB0"/>
    <w:rsid w:val="00A75432"/>
    <w:rsid w:val="00A80D17"/>
    <w:rsid w:val="00A83372"/>
    <w:rsid w:val="00A85A49"/>
    <w:rsid w:val="00A861C3"/>
    <w:rsid w:val="00A93637"/>
    <w:rsid w:val="00AA713B"/>
    <w:rsid w:val="00AB5B24"/>
    <w:rsid w:val="00AB5FA6"/>
    <w:rsid w:val="00AB6E45"/>
    <w:rsid w:val="00AC1995"/>
    <w:rsid w:val="00AC39F5"/>
    <w:rsid w:val="00AD0F05"/>
    <w:rsid w:val="00AD1078"/>
    <w:rsid w:val="00AD2103"/>
    <w:rsid w:val="00AD219C"/>
    <w:rsid w:val="00AD6180"/>
    <w:rsid w:val="00AE2131"/>
    <w:rsid w:val="00AE5779"/>
    <w:rsid w:val="00AF5833"/>
    <w:rsid w:val="00AF69AC"/>
    <w:rsid w:val="00B018C2"/>
    <w:rsid w:val="00B01928"/>
    <w:rsid w:val="00B03886"/>
    <w:rsid w:val="00B0474B"/>
    <w:rsid w:val="00B068B8"/>
    <w:rsid w:val="00B12942"/>
    <w:rsid w:val="00B1431E"/>
    <w:rsid w:val="00B20E90"/>
    <w:rsid w:val="00B217C8"/>
    <w:rsid w:val="00B22395"/>
    <w:rsid w:val="00B25715"/>
    <w:rsid w:val="00B267F8"/>
    <w:rsid w:val="00B26D79"/>
    <w:rsid w:val="00B2719C"/>
    <w:rsid w:val="00B272DD"/>
    <w:rsid w:val="00B27FCE"/>
    <w:rsid w:val="00B303E2"/>
    <w:rsid w:val="00B34C19"/>
    <w:rsid w:val="00B41437"/>
    <w:rsid w:val="00B434E9"/>
    <w:rsid w:val="00B439BF"/>
    <w:rsid w:val="00B43C7E"/>
    <w:rsid w:val="00B50958"/>
    <w:rsid w:val="00B516EA"/>
    <w:rsid w:val="00B533A1"/>
    <w:rsid w:val="00B6165A"/>
    <w:rsid w:val="00B61BA0"/>
    <w:rsid w:val="00B65946"/>
    <w:rsid w:val="00B67302"/>
    <w:rsid w:val="00B80654"/>
    <w:rsid w:val="00B8202E"/>
    <w:rsid w:val="00B822D5"/>
    <w:rsid w:val="00B87176"/>
    <w:rsid w:val="00B92B39"/>
    <w:rsid w:val="00BA3C81"/>
    <w:rsid w:val="00BA7395"/>
    <w:rsid w:val="00BB5B9E"/>
    <w:rsid w:val="00BC1662"/>
    <w:rsid w:val="00BC2A64"/>
    <w:rsid w:val="00BC47AC"/>
    <w:rsid w:val="00BC4B4F"/>
    <w:rsid w:val="00BC50F8"/>
    <w:rsid w:val="00BD1FAB"/>
    <w:rsid w:val="00BD4EAF"/>
    <w:rsid w:val="00BD63EB"/>
    <w:rsid w:val="00BE1878"/>
    <w:rsid w:val="00BE3ED3"/>
    <w:rsid w:val="00BE5A4D"/>
    <w:rsid w:val="00BF581F"/>
    <w:rsid w:val="00BF7CC2"/>
    <w:rsid w:val="00C14608"/>
    <w:rsid w:val="00C2048C"/>
    <w:rsid w:val="00C20F8B"/>
    <w:rsid w:val="00C2366F"/>
    <w:rsid w:val="00C269B6"/>
    <w:rsid w:val="00C35112"/>
    <w:rsid w:val="00C378BE"/>
    <w:rsid w:val="00C45FA9"/>
    <w:rsid w:val="00C5151C"/>
    <w:rsid w:val="00C52D3B"/>
    <w:rsid w:val="00C53767"/>
    <w:rsid w:val="00C549F6"/>
    <w:rsid w:val="00C551FE"/>
    <w:rsid w:val="00C6108A"/>
    <w:rsid w:val="00C62443"/>
    <w:rsid w:val="00C6333C"/>
    <w:rsid w:val="00C638F2"/>
    <w:rsid w:val="00C64EF5"/>
    <w:rsid w:val="00C65A3B"/>
    <w:rsid w:val="00C71271"/>
    <w:rsid w:val="00C76669"/>
    <w:rsid w:val="00C76C16"/>
    <w:rsid w:val="00C84726"/>
    <w:rsid w:val="00C86B0F"/>
    <w:rsid w:val="00C95261"/>
    <w:rsid w:val="00C952F3"/>
    <w:rsid w:val="00CA35D6"/>
    <w:rsid w:val="00CA36C4"/>
    <w:rsid w:val="00CA5727"/>
    <w:rsid w:val="00CB41C8"/>
    <w:rsid w:val="00CB6DC8"/>
    <w:rsid w:val="00CC0289"/>
    <w:rsid w:val="00CD224F"/>
    <w:rsid w:val="00CE1D3C"/>
    <w:rsid w:val="00CE33F7"/>
    <w:rsid w:val="00CE7B82"/>
    <w:rsid w:val="00CF7190"/>
    <w:rsid w:val="00D001C9"/>
    <w:rsid w:val="00D0140D"/>
    <w:rsid w:val="00D050C5"/>
    <w:rsid w:val="00D12A9B"/>
    <w:rsid w:val="00D16C16"/>
    <w:rsid w:val="00D2087A"/>
    <w:rsid w:val="00D24042"/>
    <w:rsid w:val="00D30A7C"/>
    <w:rsid w:val="00D33E05"/>
    <w:rsid w:val="00D408AD"/>
    <w:rsid w:val="00D423C9"/>
    <w:rsid w:val="00D45416"/>
    <w:rsid w:val="00D47DEA"/>
    <w:rsid w:val="00D50166"/>
    <w:rsid w:val="00D51FF7"/>
    <w:rsid w:val="00D551E0"/>
    <w:rsid w:val="00D57A81"/>
    <w:rsid w:val="00D63554"/>
    <w:rsid w:val="00D70A3A"/>
    <w:rsid w:val="00D71BD4"/>
    <w:rsid w:val="00D73EF7"/>
    <w:rsid w:val="00D76663"/>
    <w:rsid w:val="00D80ABA"/>
    <w:rsid w:val="00D834C0"/>
    <w:rsid w:val="00D83F16"/>
    <w:rsid w:val="00D87590"/>
    <w:rsid w:val="00D92FD4"/>
    <w:rsid w:val="00D930F4"/>
    <w:rsid w:val="00D95672"/>
    <w:rsid w:val="00D978D4"/>
    <w:rsid w:val="00DA705A"/>
    <w:rsid w:val="00DB2B42"/>
    <w:rsid w:val="00DB2BF2"/>
    <w:rsid w:val="00DB688C"/>
    <w:rsid w:val="00DC0158"/>
    <w:rsid w:val="00DC6950"/>
    <w:rsid w:val="00DD4144"/>
    <w:rsid w:val="00DD73D9"/>
    <w:rsid w:val="00DE1790"/>
    <w:rsid w:val="00DE41D3"/>
    <w:rsid w:val="00DE7856"/>
    <w:rsid w:val="00DF142A"/>
    <w:rsid w:val="00E04BA0"/>
    <w:rsid w:val="00E06B49"/>
    <w:rsid w:val="00E10D40"/>
    <w:rsid w:val="00E17095"/>
    <w:rsid w:val="00E17644"/>
    <w:rsid w:val="00E21B53"/>
    <w:rsid w:val="00E3448E"/>
    <w:rsid w:val="00E346FA"/>
    <w:rsid w:val="00E35430"/>
    <w:rsid w:val="00E367BD"/>
    <w:rsid w:val="00E36984"/>
    <w:rsid w:val="00E37F33"/>
    <w:rsid w:val="00E47889"/>
    <w:rsid w:val="00E554E3"/>
    <w:rsid w:val="00E57ADF"/>
    <w:rsid w:val="00E64900"/>
    <w:rsid w:val="00E7135F"/>
    <w:rsid w:val="00E75508"/>
    <w:rsid w:val="00E75CB2"/>
    <w:rsid w:val="00E802CD"/>
    <w:rsid w:val="00E82100"/>
    <w:rsid w:val="00E858C9"/>
    <w:rsid w:val="00E8750E"/>
    <w:rsid w:val="00E954A8"/>
    <w:rsid w:val="00EA19A3"/>
    <w:rsid w:val="00EA5B03"/>
    <w:rsid w:val="00EB20E7"/>
    <w:rsid w:val="00EB3DC6"/>
    <w:rsid w:val="00EB5CEA"/>
    <w:rsid w:val="00EC1DEE"/>
    <w:rsid w:val="00ED0568"/>
    <w:rsid w:val="00ED17C5"/>
    <w:rsid w:val="00ED1E60"/>
    <w:rsid w:val="00ED750D"/>
    <w:rsid w:val="00EE095E"/>
    <w:rsid w:val="00EE4A34"/>
    <w:rsid w:val="00EE7B7F"/>
    <w:rsid w:val="00EF0B03"/>
    <w:rsid w:val="00EF1E69"/>
    <w:rsid w:val="00EF3EAA"/>
    <w:rsid w:val="00EF4A6A"/>
    <w:rsid w:val="00EF635C"/>
    <w:rsid w:val="00EF6C00"/>
    <w:rsid w:val="00EF7BD6"/>
    <w:rsid w:val="00F04A4F"/>
    <w:rsid w:val="00F05163"/>
    <w:rsid w:val="00F104F8"/>
    <w:rsid w:val="00F144B2"/>
    <w:rsid w:val="00F14D91"/>
    <w:rsid w:val="00F20994"/>
    <w:rsid w:val="00F20EFB"/>
    <w:rsid w:val="00F21220"/>
    <w:rsid w:val="00F21833"/>
    <w:rsid w:val="00F22C59"/>
    <w:rsid w:val="00F26BFC"/>
    <w:rsid w:val="00F33898"/>
    <w:rsid w:val="00F3463B"/>
    <w:rsid w:val="00F46501"/>
    <w:rsid w:val="00F46ABF"/>
    <w:rsid w:val="00F478DA"/>
    <w:rsid w:val="00F47ADC"/>
    <w:rsid w:val="00F530D2"/>
    <w:rsid w:val="00F53940"/>
    <w:rsid w:val="00F62874"/>
    <w:rsid w:val="00F62A45"/>
    <w:rsid w:val="00F64F05"/>
    <w:rsid w:val="00F74671"/>
    <w:rsid w:val="00F83C43"/>
    <w:rsid w:val="00F84817"/>
    <w:rsid w:val="00F85976"/>
    <w:rsid w:val="00F85FF6"/>
    <w:rsid w:val="00F915BD"/>
    <w:rsid w:val="00F95490"/>
    <w:rsid w:val="00F9761D"/>
    <w:rsid w:val="00F97708"/>
    <w:rsid w:val="00FA5644"/>
    <w:rsid w:val="00FB00A8"/>
    <w:rsid w:val="00FB20A1"/>
    <w:rsid w:val="00FB2955"/>
    <w:rsid w:val="00FB4917"/>
    <w:rsid w:val="00FB6447"/>
    <w:rsid w:val="00FB7053"/>
    <w:rsid w:val="00FD3506"/>
    <w:rsid w:val="00FD3649"/>
    <w:rsid w:val="00FD3A07"/>
    <w:rsid w:val="00FD4652"/>
    <w:rsid w:val="00FD64B6"/>
    <w:rsid w:val="00FE20E6"/>
    <w:rsid w:val="00FE5EC3"/>
    <w:rsid w:val="00FE7827"/>
    <w:rsid w:val="00FF169C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04EF4-F7C4-436C-9E86-BC582AD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95"/>
    <w:rPr>
      <w:rFonts w:ascii="Garamond" w:eastAsia="Times New Roman" w:hAnsi="Garamond" w:cs="Arial"/>
      <w:sz w:val="22"/>
      <w:lang w:val="en-GB" w:eastAsia="en-US"/>
    </w:rPr>
  </w:style>
  <w:style w:type="paragraph" w:styleId="Heading1">
    <w:name w:val="heading 1"/>
    <w:basedOn w:val="Normal"/>
    <w:next w:val="BodyText"/>
    <w:link w:val="Heading1Char"/>
    <w:qFormat/>
    <w:rsid w:val="00AC1995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1995"/>
    <w:rPr>
      <w:rFonts w:ascii="Arial Black" w:eastAsia="Times New Roman" w:hAnsi="Arial Black" w:cs="Arial"/>
      <w:bCs/>
      <w:color w:val="4F2D7F"/>
      <w:kern w:val="32"/>
      <w:sz w:val="19"/>
      <w:szCs w:val="28"/>
      <w:lang w:val="en-GB"/>
    </w:rPr>
  </w:style>
  <w:style w:type="paragraph" w:customStyle="1" w:styleId="Default">
    <w:name w:val="Default"/>
    <w:uiPriority w:val="99"/>
    <w:rsid w:val="00AC199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C1995"/>
    <w:pPr>
      <w:spacing w:after="120"/>
    </w:pPr>
  </w:style>
  <w:style w:type="character" w:customStyle="1" w:styleId="BodyTextChar">
    <w:name w:val="Body Text Char"/>
    <w:link w:val="BodyText"/>
    <w:uiPriority w:val="99"/>
    <w:rsid w:val="00AC1995"/>
    <w:rPr>
      <w:rFonts w:ascii="Garamond" w:eastAsia="Times New Roman" w:hAnsi="Garamond" w:cs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1BD4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F48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4822"/>
    <w:rPr>
      <w:rFonts w:ascii="Garamond" w:eastAsia="Times New Roman" w:hAnsi="Garamond" w:cs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48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4822"/>
    <w:rPr>
      <w:rFonts w:ascii="Garamond" w:eastAsia="Times New Roman" w:hAnsi="Garamond" w:cs="Arial"/>
      <w:sz w:val="22"/>
      <w:lang w:val="en-GB" w:eastAsia="en-US"/>
    </w:rPr>
  </w:style>
  <w:style w:type="table" w:styleId="TableGrid">
    <w:name w:val="Table Grid"/>
    <w:basedOn w:val="TableNormal"/>
    <w:rsid w:val="008F48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4C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C8C"/>
    <w:rPr>
      <w:rFonts w:ascii="Garamond" w:eastAsia="Times New Roman" w:hAnsi="Garamond" w:cs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4C8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0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0A1"/>
    <w:rPr>
      <w:rFonts w:ascii="Garamond" w:eastAsia="Times New Roman" w:hAnsi="Garamond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0A1"/>
    <w:rPr>
      <w:rFonts w:ascii="Garamond" w:eastAsia="Times New Roman" w:hAnsi="Garamond" w:cs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E78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52F3"/>
    <w:rPr>
      <w:rFonts w:ascii="Arial" w:eastAsiaTheme="minorHAnsi" w:hAnsi="Arial" w:cstheme="minorBidi"/>
      <w:sz w:val="20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52F3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9982-6838-4800-8046-6CB95642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Horan</dc:creator>
  <cp:lastModifiedBy>Aideen Quigley</cp:lastModifiedBy>
  <cp:revision>2</cp:revision>
  <cp:lastPrinted>2019-10-21T14:40:00Z</cp:lastPrinted>
  <dcterms:created xsi:type="dcterms:W3CDTF">2020-02-18T10:35:00Z</dcterms:created>
  <dcterms:modified xsi:type="dcterms:W3CDTF">2020-02-18T10:35:00Z</dcterms:modified>
</cp:coreProperties>
</file>