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D2" w:rsidRDefault="008843D2"/>
    <w:p w:rsidR="008843D2" w:rsidRPr="0070335E" w:rsidRDefault="000E2980" w:rsidP="00244478">
      <w:pPr>
        <w:jc w:val="center"/>
        <w:rPr>
          <w:b/>
        </w:rPr>
      </w:pPr>
      <w:r>
        <w:rPr>
          <w:b/>
        </w:rPr>
        <w:t xml:space="preserve">NCCP National </w:t>
      </w:r>
      <w:r w:rsidR="00FB0C55" w:rsidRPr="0070335E">
        <w:rPr>
          <w:b/>
        </w:rPr>
        <w:t>S</w:t>
      </w:r>
      <w:r w:rsidR="0070335E">
        <w:rPr>
          <w:b/>
        </w:rPr>
        <w:t xml:space="preserve">ystemic </w:t>
      </w:r>
      <w:r w:rsidR="0070335E" w:rsidRPr="0070335E">
        <w:rPr>
          <w:b/>
        </w:rPr>
        <w:t>A</w:t>
      </w:r>
      <w:r w:rsidR="0070335E">
        <w:rPr>
          <w:b/>
        </w:rPr>
        <w:t>nti-</w:t>
      </w:r>
      <w:r w:rsidR="0070335E" w:rsidRPr="0070335E">
        <w:rPr>
          <w:b/>
        </w:rPr>
        <w:t>C</w:t>
      </w:r>
      <w:r w:rsidR="0070335E">
        <w:rPr>
          <w:b/>
        </w:rPr>
        <w:t xml:space="preserve">ancer </w:t>
      </w:r>
      <w:r w:rsidR="00FB0C55" w:rsidRPr="0070335E">
        <w:rPr>
          <w:b/>
        </w:rPr>
        <w:t>T</w:t>
      </w:r>
      <w:r w:rsidR="0070335E">
        <w:rPr>
          <w:b/>
        </w:rPr>
        <w:t>herapy</w:t>
      </w:r>
      <w:r w:rsidR="00FB0C55" w:rsidRPr="0070335E">
        <w:rPr>
          <w:b/>
        </w:rPr>
        <w:t xml:space="preserve"> </w:t>
      </w:r>
      <w:r>
        <w:rPr>
          <w:b/>
        </w:rPr>
        <w:t xml:space="preserve">(SACT) </w:t>
      </w:r>
      <w:r w:rsidR="00FB0C55" w:rsidRPr="0070335E">
        <w:rPr>
          <w:b/>
        </w:rPr>
        <w:t>Competency Programme</w:t>
      </w:r>
      <w:r>
        <w:rPr>
          <w:b/>
        </w:rPr>
        <w:t xml:space="preserve"> for Nurses Working in Cancer Care</w:t>
      </w:r>
    </w:p>
    <w:p w:rsidR="00FB0C55" w:rsidRPr="00FB0C55" w:rsidRDefault="000E2980">
      <w:pPr>
        <w:rPr>
          <w:b/>
        </w:rPr>
      </w:pPr>
      <w:r>
        <w:rPr>
          <w:b/>
        </w:rPr>
        <w:t>Aim</w:t>
      </w:r>
    </w:p>
    <w:p w:rsidR="00C916F5" w:rsidRDefault="00FB0C55" w:rsidP="000E2980">
      <w:pPr>
        <w:spacing w:line="360" w:lineRule="auto"/>
        <w:jc w:val="both"/>
      </w:pPr>
      <w:r w:rsidRPr="00FB0C55">
        <w:t>The aim of the ‘</w:t>
      </w:r>
      <w:r w:rsidR="000E2980">
        <w:t xml:space="preserve">NCCP </w:t>
      </w:r>
      <w:r w:rsidRPr="00FB0C55">
        <w:t xml:space="preserve">National Systemic Anti-Cancer Therapy (SACT) Competency Programme for Nurses Working in Cancer Care’ is to standardise the education and assessment of SACT administration and patient care, ensuring consistently safe and high-quality SACT practice. Upon completion of the programme, registered SACT administrators are then free to move between employers within Ireland and the UK without the need for retraining. </w:t>
      </w:r>
      <w:r w:rsidR="004D74C0">
        <w:t xml:space="preserve">This programme is </w:t>
      </w:r>
      <w:r w:rsidR="004D74C0" w:rsidRPr="004D74C0">
        <w:t xml:space="preserve">not designed to provide guidance about assessing clinical competence of either administering SACT to children, or using non-systemic anti-cancer drug treatment, e.g. localised/topical anti-cancer therapy such as intrathecal, </w:t>
      </w:r>
      <w:proofErr w:type="spellStart"/>
      <w:r w:rsidR="004D74C0" w:rsidRPr="004D74C0">
        <w:t>intravesical</w:t>
      </w:r>
      <w:proofErr w:type="spellEnd"/>
      <w:r w:rsidR="004D74C0" w:rsidRPr="004D74C0">
        <w:t>, inhalation, isolated limb perfusion, intraperitoneal and topical chemotherapy.</w:t>
      </w:r>
    </w:p>
    <w:p w:rsidR="0070335E" w:rsidRDefault="000E2980" w:rsidP="00FB0C55">
      <w:pPr>
        <w:spacing w:line="360" w:lineRule="auto"/>
        <w:jc w:val="both"/>
        <w:rPr>
          <w:b/>
        </w:rPr>
      </w:pPr>
      <w:r>
        <w:rPr>
          <w:b/>
        </w:rPr>
        <w:t>Programme Overview</w:t>
      </w:r>
    </w:p>
    <w:p w:rsidR="000E2980" w:rsidRPr="000E2980" w:rsidRDefault="000E2980" w:rsidP="000E2980">
      <w:pPr>
        <w:spacing w:line="360" w:lineRule="auto"/>
        <w:jc w:val="both"/>
      </w:pPr>
      <w:r w:rsidRPr="000E2980">
        <w:t>The National SACT Competency Programme is a continuous professional development programme with Category 1 approval from NMBI, equating to 16 CEU’s.  There are four steps to competency attainment:</w:t>
      </w:r>
    </w:p>
    <w:p w:rsidR="000E2980" w:rsidRPr="000E2980" w:rsidRDefault="000E2980" w:rsidP="000E298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EastAsia"/>
          <w:lang w:eastAsia="en-IE"/>
        </w:rPr>
      </w:pPr>
      <w:r w:rsidRPr="000E2980">
        <w:rPr>
          <w:rFonts w:eastAsiaTheme="minorEastAsia"/>
          <w:lang w:eastAsia="en-IE"/>
        </w:rPr>
        <w:t>Attending the 2 day</w:t>
      </w:r>
      <w:r w:rsidRPr="00A168F8">
        <w:rPr>
          <w:rFonts w:eastAsiaTheme="minorEastAsia"/>
          <w:lang w:eastAsia="en-IE"/>
        </w:rPr>
        <w:t xml:space="preserve"> training programme to cover</w:t>
      </w:r>
      <w:r w:rsidRPr="000E2980">
        <w:rPr>
          <w:rFonts w:eastAsiaTheme="minorEastAsia"/>
          <w:lang w:eastAsia="en-IE"/>
        </w:rPr>
        <w:t xml:space="preserve"> theoretical learning (virtually, in the classroom or blended learning</w:t>
      </w:r>
      <w:r w:rsidR="00A168F8" w:rsidRPr="00A168F8">
        <w:rPr>
          <w:rFonts w:eastAsiaTheme="minorEastAsia"/>
          <w:lang w:eastAsia="en-IE"/>
        </w:rPr>
        <w:t xml:space="preserve"> is offered in some centres</w:t>
      </w:r>
      <w:r w:rsidRPr="000E2980">
        <w:rPr>
          <w:rFonts w:eastAsiaTheme="minorEastAsia"/>
          <w:lang w:eastAsia="en-IE"/>
        </w:rPr>
        <w:t>).</w:t>
      </w:r>
    </w:p>
    <w:p w:rsidR="000E2980" w:rsidRPr="00A168F8" w:rsidRDefault="000E2980" w:rsidP="00270C6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EastAsia"/>
          <w:lang w:eastAsia="en-IE"/>
        </w:rPr>
      </w:pPr>
      <w:r w:rsidRPr="000E2980">
        <w:rPr>
          <w:rFonts w:eastAsiaTheme="minorEastAsia"/>
          <w:lang w:eastAsia="en-IE"/>
        </w:rPr>
        <w:t xml:space="preserve">Completion of the theoretical sections of the UKONS </w:t>
      </w:r>
      <w:r w:rsidRPr="00A168F8">
        <w:rPr>
          <w:rFonts w:eastAsiaTheme="minorEastAsia"/>
          <w:lang w:eastAsia="en-IE"/>
        </w:rPr>
        <w:t>SACT Competency Passport with</w:t>
      </w:r>
      <w:r w:rsidRPr="000E2980">
        <w:rPr>
          <w:rFonts w:eastAsiaTheme="minorEastAsia"/>
          <w:lang w:eastAsia="en-IE"/>
        </w:rPr>
        <w:t xml:space="preserve"> an approved SACT assessor.</w:t>
      </w:r>
    </w:p>
    <w:p w:rsidR="000E2980" w:rsidRPr="000E2980" w:rsidRDefault="000E2980" w:rsidP="00270C6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EastAsia"/>
          <w:lang w:eastAsia="en-IE"/>
        </w:rPr>
      </w:pPr>
      <w:r w:rsidRPr="000E2980">
        <w:rPr>
          <w:rFonts w:eastAsiaTheme="minorEastAsia"/>
          <w:lang w:eastAsia="en-IE"/>
        </w:rPr>
        <w:t xml:space="preserve">Completion of the clinical practice competency sections of the </w:t>
      </w:r>
      <w:r w:rsidR="007518D6">
        <w:rPr>
          <w:rFonts w:eastAsiaTheme="minorEastAsia"/>
          <w:lang w:eastAsia="en-IE"/>
        </w:rPr>
        <w:t>United Kingdom Oncology Nursing Society (</w:t>
      </w:r>
      <w:r w:rsidRPr="000E2980">
        <w:rPr>
          <w:rFonts w:eastAsiaTheme="minorEastAsia"/>
          <w:lang w:eastAsia="en-IE"/>
        </w:rPr>
        <w:t>UKONS</w:t>
      </w:r>
      <w:r w:rsidR="007518D6">
        <w:rPr>
          <w:rFonts w:eastAsiaTheme="minorEastAsia"/>
          <w:lang w:eastAsia="en-IE"/>
        </w:rPr>
        <w:t>)</w:t>
      </w:r>
      <w:r w:rsidRPr="000E2980">
        <w:rPr>
          <w:rFonts w:eastAsiaTheme="minorEastAsia"/>
          <w:lang w:eastAsia="en-IE"/>
        </w:rPr>
        <w:t xml:space="preserve"> </w:t>
      </w:r>
      <w:r w:rsidRPr="00A168F8">
        <w:rPr>
          <w:rFonts w:eastAsiaTheme="minorEastAsia"/>
          <w:lang w:eastAsia="en-IE"/>
        </w:rPr>
        <w:t xml:space="preserve">SACT Competency </w:t>
      </w:r>
      <w:r w:rsidRPr="000E2980">
        <w:rPr>
          <w:rFonts w:eastAsiaTheme="minorEastAsia"/>
          <w:lang w:eastAsia="en-IE"/>
        </w:rPr>
        <w:t>Passport with an approved SACT assessor.</w:t>
      </w:r>
    </w:p>
    <w:p w:rsidR="000E2980" w:rsidRPr="00A168F8" w:rsidRDefault="000E2980" w:rsidP="00FB0C5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EastAsia"/>
          <w:lang w:eastAsia="en-IE"/>
        </w:rPr>
      </w:pPr>
      <w:r w:rsidRPr="000E2980">
        <w:rPr>
          <w:rFonts w:eastAsiaTheme="minorEastAsia"/>
          <w:lang w:eastAsia="en-IE"/>
        </w:rPr>
        <w:t xml:space="preserve">Completion of the UKONS SACT Safe Handling and Administration Certificate and then annual completion of the Re-accreditation Competency Certificate to ensure the nurse remains a competent SACT administrator. </w:t>
      </w:r>
    </w:p>
    <w:p w:rsidR="00A168F8" w:rsidRPr="00A168F8" w:rsidRDefault="00A168F8" w:rsidP="00A168F8">
      <w:pPr>
        <w:spacing w:after="200" w:line="360" w:lineRule="auto"/>
        <w:ind w:left="360"/>
        <w:contextualSpacing/>
        <w:jc w:val="both"/>
        <w:rPr>
          <w:rFonts w:eastAsiaTheme="minorEastAsia"/>
          <w:lang w:eastAsia="en-IE"/>
        </w:rPr>
      </w:pPr>
    </w:p>
    <w:p w:rsidR="0070335E" w:rsidRDefault="007518D6" w:rsidP="0070335E">
      <w:pPr>
        <w:spacing w:line="360" w:lineRule="auto"/>
        <w:jc w:val="both"/>
        <w:rPr>
          <w:b/>
        </w:rPr>
      </w:pPr>
      <w:r>
        <w:rPr>
          <w:b/>
        </w:rPr>
        <w:t>Prerequisite Requirements:</w:t>
      </w:r>
    </w:p>
    <w:p w:rsidR="0070335E" w:rsidRPr="0070335E" w:rsidRDefault="0070335E" w:rsidP="0070335E">
      <w:pPr>
        <w:spacing w:line="360" w:lineRule="auto"/>
        <w:jc w:val="both"/>
      </w:pPr>
      <w:r w:rsidRPr="0070335E">
        <w:t>Nurses must be registered with NMBI and be on the live register for 12 months or more</w:t>
      </w:r>
      <w:r w:rsidR="00C5125E">
        <w:t xml:space="preserve"> and </w:t>
      </w:r>
    </w:p>
    <w:p w:rsid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B</w:t>
      </w:r>
      <w:r w:rsidR="0070335E" w:rsidRPr="0070335E">
        <w:t>e working in cancer care for a minimum of 3 months</w:t>
      </w:r>
      <w:r w:rsidR="00A168F8">
        <w:t>.</w:t>
      </w:r>
    </w:p>
    <w:p w:rsidR="004D74C0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B</w:t>
      </w:r>
      <w:r w:rsidR="004D74C0">
        <w:t>e working in a publically funded SACT Hospital or service</w:t>
      </w:r>
    </w:p>
    <w:p w:rsidR="00C916F5" w:rsidRDefault="00E802B0" w:rsidP="00E93802">
      <w:pPr>
        <w:pStyle w:val="ListParagraph"/>
        <w:numPr>
          <w:ilvl w:val="0"/>
          <w:numId w:val="1"/>
        </w:numPr>
        <w:spacing w:line="360" w:lineRule="auto"/>
        <w:jc w:val="both"/>
      </w:pPr>
      <w:r>
        <w:t>C</w:t>
      </w:r>
      <w:r w:rsidR="0070335E" w:rsidRPr="0070335E">
        <w:t xml:space="preserve">omplete the application form online through HSELand following discussion with the relevant manager with commitment to full attendance. </w:t>
      </w:r>
    </w:p>
    <w:p w:rsidR="0070335E" w:rsidRPr="0070335E" w:rsidRDefault="00E802B0" w:rsidP="00E93802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H</w:t>
      </w:r>
      <w:r w:rsidR="0070335E" w:rsidRPr="0070335E">
        <w:t>ave explored NCCP guidance documents and resources, local PPPG’s as well as other recommended reading outlined in Appendix 1.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Ha</w:t>
      </w:r>
      <w:r w:rsidR="0070335E" w:rsidRPr="0070335E">
        <w:t>ve achieved competence in intravenous (IV) administration of medicines by successfully completing an IV Study Day at local level</w:t>
      </w:r>
      <w:r w:rsidR="007518D6">
        <w:t>.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</w:t>
      </w:r>
      <w:r w:rsidR="0070335E" w:rsidRPr="0070335E">
        <w:t xml:space="preserve">ave gained </w:t>
      </w:r>
      <w:r w:rsidR="007518D6">
        <w:t>p</w:t>
      </w:r>
      <w:r w:rsidR="007518D6" w:rsidRPr="0070335E">
        <w:t>erquisite</w:t>
      </w:r>
      <w:r w:rsidR="0070335E" w:rsidRPr="0070335E">
        <w:t xml:space="preserve"> competence related to medicines management,</w:t>
      </w:r>
      <w:r w:rsidR="00C5125E">
        <w:t xml:space="preserve"> </w:t>
      </w:r>
      <w:r w:rsidR="0070335E" w:rsidRPr="0070335E">
        <w:t>including calculations for medicine administration in accordance with local policy and have successfully completed</w:t>
      </w:r>
      <w:r>
        <w:t xml:space="preserve"> Medicines Management on</w:t>
      </w:r>
      <w:r w:rsidRPr="00E802B0">
        <w:t xml:space="preserve"> </w:t>
      </w:r>
      <w:r>
        <w:t>HSeLanD</w:t>
      </w:r>
      <w:bookmarkStart w:id="0" w:name="_GoBack"/>
      <w:bookmarkEnd w:id="0"/>
      <w:r w:rsidR="007518D6">
        <w:t>.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</w:t>
      </w:r>
      <w:r w:rsidR="0070335E" w:rsidRPr="0070335E">
        <w:t>ave achieved competence in the care and management of central venous access devices (CVAD’s) by successfully completing relevant training and certification at local level</w:t>
      </w:r>
      <w:r w:rsidR="007518D6">
        <w:t>.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H</w:t>
      </w:r>
      <w:r w:rsidR="0070335E" w:rsidRPr="0070335E">
        <w:t>ave achieved competence in peripheral venous cannulation and venepuncture by successfully completing relevant training and certification at local level</w:t>
      </w:r>
      <w:r w:rsidR="007518D6">
        <w:t>.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</w:t>
      </w:r>
      <w:r w:rsidR="007518D6">
        <w:t>ave gained pe</w:t>
      </w:r>
      <w:r w:rsidR="007518D6" w:rsidRPr="0070335E">
        <w:t>rquisite</w:t>
      </w:r>
      <w:r w:rsidR="0070335E" w:rsidRPr="0070335E">
        <w:t xml:space="preserve"> competence in the management of anaphylaxis by successfully completing the National Anaphylaxis Education Programme for Hea</w:t>
      </w:r>
      <w:r>
        <w:t xml:space="preserve">lthcare Professionals on </w:t>
      </w:r>
      <w:r>
        <w:t>HSeLanD</w:t>
      </w:r>
      <w:r>
        <w:t>.</w:t>
      </w:r>
      <w:r w:rsidR="0070335E" w:rsidRPr="0070335E">
        <w:t xml:space="preserve"> </w:t>
      </w:r>
    </w:p>
    <w:p w:rsidR="0070335E" w:rsidRPr="0070335E" w:rsidRDefault="00E802B0" w:rsidP="00C5125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</w:t>
      </w:r>
      <w:r w:rsidR="0070335E" w:rsidRPr="0070335E">
        <w:t>ave successfully completed Chemical Safety in the Wor</w:t>
      </w:r>
      <w:r>
        <w:t xml:space="preserve">kplace (Introduction) on </w:t>
      </w:r>
      <w:r>
        <w:t>HSeLanD</w:t>
      </w:r>
      <w:r>
        <w:t>.</w:t>
      </w:r>
    </w:p>
    <w:p w:rsidR="0070335E" w:rsidRPr="00607E30" w:rsidRDefault="00E802B0" w:rsidP="00FB0C55">
      <w:pPr>
        <w:pStyle w:val="ListParagraph"/>
        <w:numPr>
          <w:ilvl w:val="0"/>
          <w:numId w:val="1"/>
        </w:numPr>
        <w:spacing w:line="360" w:lineRule="auto"/>
        <w:jc w:val="both"/>
      </w:pPr>
      <w:r>
        <w:t>H</w:t>
      </w:r>
      <w:r w:rsidR="0070335E" w:rsidRPr="0070335E">
        <w:t>ave successfully completed the Natio</w:t>
      </w:r>
      <w:r w:rsidR="00C5125E">
        <w:t>nal Intrathecal Chemotherapy e-l</w:t>
      </w:r>
      <w:r>
        <w:t>earning tool on HSeLanD</w:t>
      </w:r>
      <w:r w:rsidR="0070335E" w:rsidRPr="0070335E">
        <w:t>.</w:t>
      </w:r>
    </w:p>
    <w:p w:rsidR="00FB0C55" w:rsidRDefault="00451C07" w:rsidP="00FB0C55">
      <w:pPr>
        <w:spacing w:line="360" w:lineRule="auto"/>
        <w:jc w:val="both"/>
        <w:rPr>
          <w:b/>
        </w:rPr>
      </w:pPr>
      <w:r>
        <w:rPr>
          <w:b/>
        </w:rPr>
        <w:t xml:space="preserve">Duration </w:t>
      </w:r>
    </w:p>
    <w:p w:rsidR="00607E30" w:rsidRDefault="007518D6" w:rsidP="00FB0C55">
      <w:pPr>
        <w:spacing w:line="360" w:lineRule="auto"/>
        <w:jc w:val="both"/>
      </w:pPr>
      <w:r>
        <w:t>Nurses must attend</w:t>
      </w:r>
      <w:r w:rsidR="004A311F">
        <w:t xml:space="preserve"> a two day (16 hrs) theoretical programme, delivered virtually, in the cla</w:t>
      </w:r>
      <w:r>
        <w:t>ssroom or a combination of both, depending on the centre running the programme. It is recommended that day 2 be attended in person as there is a practical workshop.</w:t>
      </w:r>
      <w:r w:rsidR="004A311F">
        <w:t xml:space="preserve"> </w:t>
      </w:r>
      <w:r>
        <w:t xml:space="preserve"> </w:t>
      </w:r>
      <w:proofErr w:type="gramStart"/>
      <w:r w:rsidR="004A311F">
        <w:t>Day</w:t>
      </w:r>
      <w:proofErr w:type="gramEnd"/>
      <w:r w:rsidR="004A311F">
        <w:t xml:space="preserve"> 1 and 2 will be a week apart to allow participants to consolidate learning. It will be supplemented by work based learning, reflection on practice and additional self-directed learning. Participants from Type 3 or Type 4 SACT hospitals/services will be offered a 1 day clinical placement in the ambulatory day unit of the programme provider.</w:t>
      </w:r>
    </w:p>
    <w:p w:rsidR="007518D6" w:rsidRPr="004A311F" w:rsidRDefault="007518D6" w:rsidP="00FB0C55">
      <w:pPr>
        <w:spacing w:line="360" w:lineRule="auto"/>
        <w:jc w:val="both"/>
        <w:rPr>
          <w:b/>
        </w:rPr>
      </w:pPr>
      <w:r>
        <w:t>Nurses then have up to 8 months to successfully complete their UKONS SACT Competency Passport with an approved assessor.</w:t>
      </w:r>
    </w:p>
    <w:p w:rsidR="00FB0C55" w:rsidRDefault="007518D6" w:rsidP="00FB0C55">
      <w:pPr>
        <w:spacing w:line="360" w:lineRule="auto"/>
        <w:jc w:val="both"/>
        <w:rPr>
          <w:b/>
        </w:rPr>
      </w:pPr>
      <w:r>
        <w:rPr>
          <w:b/>
        </w:rPr>
        <w:t xml:space="preserve">Where can I attend this programme? </w:t>
      </w:r>
    </w:p>
    <w:p w:rsidR="004A311F" w:rsidRDefault="007518D6" w:rsidP="007518D6">
      <w:pPr>
        <w:spacing w:before="100" w:beforeAutospacing="1" w:after="100" w:afterAutospacing="1" w:line="360" w:lineRule="auto"/>
        <w:jc w:val="both"/>
      </w:pPr>
      <w:r>
        <w:t>This national programme is</w:t>
      </w:r>
      <w:r w:rsidR="004A311F">
        <w:t xml:space="preserve"> provided </w:t>
      </w:r>
      <w:r w:rsidR="001010BD">
        <w:t xml:space="preserve">on a monthly basis </w:t>
      </w:r>
      <w:r w:rsidR="004A311F">
        <w:t xml:space="preserve">by the </w:t>
      </w:r>
      <w:r w:rsidRPr="002327AB">
        <w:t>Centre</w:t>
      </w:r>
      <w:r>
        <w:t>’</w:t>
      </w:r>
      <w:r w:rsidRPr="002327AB">
        <w:t>s of Nursing and Midwifery</w:t>
      </w:r>
      <w:r>
        <w:t xml:space="preserve"> Education, Centre’s of Learning and Development, Centre’s for Nurse Education, Centre’s for Learning and Development</w:t>
      </w:r>
      <w:r>
        <w:t xml:space="preserve"> </w:t>
      </w:r>
      <w:r w:rsidR="004A311F">
        <w:t>in all of the</w:t>
      </w:r>
      <w:r>
        <w:t xml:space="preserve"> publically funded</w:t>
      </w:r>
      <w:r w:rsidR="004A311F">
        <w:t xml:space="preserve"> Type </w:t>
      </w:r>
      <w:r w:rsidR="00244478">
        <w:t xml:space="preserve">1 and 2 SACT service hospitals. </w:t>
      </w:r>
      <w:r w:rsidR="001010BD">
        <w:t xml:space="preserve">Each centre will deliver the programme once annually. </w:t>
      </w:r>
      <w:r w:rsidR="004A311F">
        <w:t>Cancer nurses from</w:t>
      </w:r>
      <w:r w:rsidR="004D74C0">
        <w:t xml:space="preserve"> the publically funded</w:t>
      </w:r>
      <w:r w:rsidR="004A311F">
        <w:t xml:space="preserve"> Type 3 and 4 SACT services, or any of the</w:t>
      </w:r>
      <w:r w:rsidR="004D74C0">
        <w:t xml:space="preserve"> publically funded SACT hospitals </w:t>
      </w:r>
      <w:r w:rsidR="004A311F">
        <w:t xml:space="preserve">have equal opportunity to feed into the programme being delivered at any location nationally. </w:t>
      </w:r>
    </w:p>
    <w:p w:rsidR="001010BD" w:rsidRDefault="001010BD" w:rsidP="007518D6">
      <w:pPr>
        <w:spacing w:before="100" w:beforeAutospacing="1" w:after="100" w:afterAutospacing="1" w:line="360" w:lineRule="auto"/>
        <w:jc w:val="both"/>
      </w:pPr>
    </w:p>
    <w:p w:rsidR="004D74C0" w:rsidRPr="004D74C0" w:rsidRDefault="004D74C0" w:rsidP="007518D6">
      <w:pPr>
        <w:spacing w:before="100" w:beforeAutospacing="1" w:after="100" w:afterAutospacing="1" w:line="360" w:lineRule="auto"/>
        <w:jc w:val="both"/>
        <w:rPr>
          <w:b/>
        </w:rPr>
      </w:pPr>
      <w:r w:rsidRPr="004D74C0">
        <w:rPr>
          <w:b/>
        </w:rPr>
        <w:t>How do I register for this programme?</w:t>
      </w:r>
    </w:p>
    <w:p w:rsidR="001010BD" w:rsidRDefault="004D74C0" w:rsidP="001010BD">
      <w:pPr>
        <w:spacing w:before="100" w:beforeAutospacing="1" w:after="100" w:afterAutospacing="1" w:line="360" w:lineRule="auto"/>
        <w:jc w:val="both"/>
      </w:pPr>
      <w:r>
        <w:t>Registration is through HSeLanD</w:t>
      </w:r>
      <w:r w:rsidR="001010BD">
        <w:t xml:space="preserve">. </w:t>
      </w:r>
      <w:hyperlink r:id="rId5" w:history="1">
        <w:r w:rsidR="001010BD" w:rsidRPr="00D11B03">
          <w:rPr>
            <w:rStyle w:val="Hyperlink"/>
          </w:rPr>
          <w:t>https://www.hseland.ie/dash/Account/Login</w:t>
        </w:r>
      </w:hyperlink>
      <w:r w:rsidR="001010BD">
        <w:t xml:space="preserve"> </w:t>
      </w:r>
    </w:p>
    <w:p w:rsidR="004D74C0" w:rsidRDefault="001010BD" w:rsidP="007518D6">
      <w:pPr>
        <w:spacing w:before="100" w:beforeAutospacing="1" w:after="100" w:afterAutospacing="1" w:line="360" w:lineRule="auto"/>
        <w:jc w:val="both"/>
      </w:pPr>
      <w:r>
        <w:t xml:space="preserve">In the search bar: What courses are you interested in? Search for SACT. </w:t>
      </w:r>
    </w:p>
    <w:p w:rsidR="001010BD" w:rsidRDefault="001010BD" w:rsidP="007518D6">
      <w:pPr>
        <w:spacing w:before="100" w:beforeAutospacing="1" w:after="100" w:afterAutospacing="1" w:line="360" w:lineRule="auto"/>
        <w:jc w:val="both"/>
      </w:pPr>
      <w:r>
        <w:rPr>
          <w:noProof/>
          <w:lang w:eastAsia="en-IE"/>
        </w:rPr>
        <w:drawing>
          <wp:inline distT="0" distB="0" distL="0" distR="0" wp14:anchorId="0E775AF8" wp14:editId="61E931BF">
            <wp:extent cx="5731510" cy="7829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C0" w:rsidRPr="004D74C0" w:rsidRDefault="004D74C0" w:rsidP="007518D6">
      <w:pPr>
        <w:spacing w:before="100" w:beforeAutospacing="1" w:after="100" w:afterAutospacing="1" w:line="360" w:lineRule="auto"/>
        <w:jc w:val="both"/>
        <w:rPr>
          <w:b/>
        </w:rPr>
      </w:pPr>
      <w:r w:rsidRPr="004D74C0">
        <w:rPr>
          <w:b/>
        </w:rPr>
        <w:t>Publically Funded SACT Hospitals</w:t>
      </w:r>
    </w:p>
    <w:p w:rsidR="004D74C0" w:rsidRDefault="004D74C0" w:rsidP="007518D6">
      <w:pPr>
        <w:spacing w:before="100" w:beforeAutospacing="1" w:after="100" w:afterAutospacing="1" w:line="360" w:lineRule="auto"/>
        <w:jc w:val="both"/>
      </w:pPr>
      <w:r>
        <w:rPr>
          <w:noProof/>
          <w:lang w:eastAsia="en-IE"/>
        </w:rPr>
        <w:drawing>
          <wp:inline distT="0" distB="0" distL="0" distR="0" wp14:anchorId="026E7885" wp14:editId="1DDA8AE2">
            <wp:extent cx="5076825" cy="401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C0" w:rsidRDefault="004D74C0" w:rsidP="007518D6">
      <w:pPr>
        <w:spacing w:before="100" w:beforeAutospacing="1" w:after="100" w:afterAutospacing="1" w:line="360" w:lineRule="auto"/>
        <w:jc w:val="both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 xml:space="preserve">Organisation of SACT Services </w:t>
      </w:r>
      <w:proofErr w:type="gramStart"/>
      <w:r>
        <w:rPr>
          <w:rFonts w:eastAsia="Times New Roman"/>
          <w:b/>
          <w:lang w:eastAsia="en-GB"/>
        </w:rPr>
        <w:t>P</w:t>
      </w:r>
      <w:r w:rsidRPr="00E51D6F">
        <w:rPr>
          <w:rFonts w:eastAsia="Times New Roman"/>
          <w:b/>
          <w:lang w:eastAsia="en-GB"/>
        </w:rPr>
        <w:t>er</w:t>
      </w:r>
      <w:proofErr w:type="gramEnd"/>
      <w:r w:rsidRPr="00E51D6F">
        <w:rPr>
          <w:rFonts w:eastAsia="Times New Roman"/>
          <w:b/>
          <w:lang w:eastAsia="en-GB"/>
        </w:rPr>
        <w:t xml:space="preserve">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321"/>
        <w:gridCol w:w="2295"/>
        <w:gridCol w:w="2302"/>
      </w:tblGrid>
      <w:tr w:rsidR="004D74C0" w:rsidRPr="00E51D6F" w:rsidTr="00C55FE1">
        <w:tc>
          <w:tcPr>
            <w:tcW w:w="2098" w:type="dxa"/>
            <w:shd w:val="clear" w:color="auto" w:fill="D9E2F3" w:themeFill="accent5" w:themeFillTint="33"/>
          </w:tcPr>
          <w:p w:rsidR="004D74C0" w:rsidRPr="00E51D6F" w:rsidRDefault="004D74C0" w:rsidP="00C55FE1">
            <w:pPr>
              <w:spacing w:after="160" w:line="259" w:lineRule="auto"/>
              <w:rPr>
                <w:b/>
              </w:rPr>
            </w:pPr>
            <w:r w:rsidRPr="00E51D6F">
              <w:rPr>
                <w:b/>
              </w:rPr>
              <w:t>Type 1 SACT Service</w:t>
            </w:r>
          </w:p>
        </w:tc>
        <w:tc>
          <w:tcPr>
            <w:tcW w:w="2321" w:type="dxa"/>
            <w:shd w:val="clear" w:color="auto" w:fill="D9E2F3" w:themeFill="accent5" w:themeFillTint="33"/>
          </w:tcPr>
          <w:p w:rsidR="004D74C0" w:rsidRPr="00E51D6F" w:rsidRDefault="004D74C0" w:rsidP="00C55FE1">
            <w:pPr>
              <w:spacing w:after="160" w:line="259" w:lineRule="auto"/>
              <w:rPr>
                <w:b/>
              </w:rPr>
            </w:pPr>
            <w:r w:rsidRPr="00E51D6F">
              <w:rPr>
                <w:b/>
              </w:rPr>
              <w:t>Type 2 SACT Service</w:t>
            </w:r>
          </w:p>
        </w:tc>
        <w:tc>
          <w:tcPr>
            <w:tcW w:w="2295" w:type="dxa"/>
            <w:shd w:val="clear" w:color="auto" w:fill="D9E2F3" w:themeFill="accent5" w:themeFillTint="33"/>
          </w:tcPr>
          <w:p w:rsidR="004D74C0" w:rsidRPr="00E51D6F" w:rsidRDefault="004D74C0" w:rsidP="00C55FE1">
            <w:pPr>
              <w:spacing w:after="160" w:line="259" w:lineRule="auto"/>
              <w:rPr>
                <w:b/>
              </w:rPr>
            </w:pPr>
            <w:r w:rsidRPr="00E51D6F">
              <w:rPr>
                <w:b/>
              </w:rPr>
              <w:t>Type 3 SACT Service</w:t>
            </w:r>
          </w:p>
        </w:tc>
        <w:tc>
          <w:tcPr>
            <w:tcW w:w="2302" w:type="dxa"/>
            <w:shd w:val="clear" w:color="auto" w:fill="D9E2F3" w:themeFill="accent5" w:themeFillTint="33"/>
          </w:tcPr>
          <w:p w:rsidR="004D74C0" w:rsidRPr="00E51D6F" w:rsidRDefault="004D74C0" w:rsidP="00C55FE1">
            <w:pPr>
              <w:spacing w:after="160" w:line="259" w:lineRule="auto"/>
              <w:rPr>
                <w:b/>
              </w:rPr>
            </w:pPr>
            <w:r w:rsidRPr="00E51D6F">
              <w:rPr>
                <w:b/>
              </w:rPr>
              <w:t>Type 4 SACT Service</w:t>
            </w: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Beaumont Hospital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Tallaght University Hospital</w:t>
            </w: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University Hospital Kerry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Community infusion clinics</w:t>
            </w: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Cork University Hospital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Sligo University Hospital</w:t>
            </w: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Portiuncula University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Primary care centres</w:t>
            </w: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University Hospital, Limerick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Letterkenny University Hospital</w:t>
            </w: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St Luke’s Hospital Rathgar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GPs</w:t>
            </w: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University Hospital Waterford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 xml:space="preserve">Midlands Regional Hospital, </w:t>
            </w:r>
            <w:proofErr w:type="spellStart"/>
            <w:r w:rsidRPr="00E51D6F">
              <w:t>Tullamore</w:t>
            </w:r>
            <w:proofErr w:type="spellEnd"/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Mayo University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Home</w:t>
            </w: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St James's Hospital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Mercy University Hospital</w:t>
            </w:r>
            <w:r>
              <w:t>, Cork</w:t>
            </w: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>
              <w:t>Tipperary University</w:t>
            </w:r>
            <w:r w:rsidRPr="00E51D6F">
              <w:t xml:space="preserve">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 xml:space="preserve">Mater </w:t>
            </w:r>
            <w:proofErr w:type="spellStart"/>
            <w:r w:rsidRPr="00E51D6F">
              <w:t>Misericordiae</w:t>
            </w:r>
            <w:proofErr w:type="spellEnd"/>
            <w:r w:rsidRPr="00E51D6F">
              <w:t xml:space="preserve"> University Hospital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Cavan General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St Vincent's University Hospital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St Luke's General Hospital, Kilkenny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University Hospital Galway</w:t>
            </w: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Wexford General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321" w:type="dxa"/>
          </w:tcPr>
          <w:p w:rsidR="004D74C0" w:rsidRDefault="004D74C0" w:rsidP="00C55FE1">
            <w:pPr>
              <w:spacing w:after="160" w:line="259" w:lineRule="auto"/>
            </w:pPr>
          </w:p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Naas General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321" w:type="dxa"/>
          </w:tcPr>
          <w:p w:rsidR="004D74C0" w:rsidRDefault="004D74C0" w:rsidP="00C55FE1">
            <w:pPr>
              <w:spacing w:after="160" w:line="259" w:lineRule="auto"/>
            </w:pPr>
          </w:p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Connolly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Our Lady of Lourdes Hospital, Drogheda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  <w:tr w:rsidR="004D74C0" w:rsidRPr="00E51D6F" w:rsidTr="00C55FE1">
        <w:tc>
          <w:tcPr>
            <w:tcW w:w="2098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321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  <w:tc>
          <w:tcPr>
            <w:tcW w:w="2295" w:type="dxa"/>
          </w:tcPr>
          <w:p w:rsidR="004D74C0" w:rsidRPr="00E51D6F" w:rsidRDefault="004D74C0" w:rsidP="00C55FE1">
            <w:pPr>
              <w:spacing w:after="160" w:line="259" w:lineRule="auto"/>
            </w:pPr>
            <w:r w:rsidRPr="00E51D6F">
              <w:t>South Infirmary Victoria University Hospital</w:t>
            </w:r>
          </w:p>
        </w:tc>
        <w:tc>
          <w:tcPr>
            <w:tcW w:w="2302" w:type="dxa"/>
          </w:tcPr>
          <w:p w:rsidR="004D74C0" w:rsidRPr="00E51D6F" w:rsidRDefault="004D74C0" w:rsidP="00C55FE1">
            <w:pPr>
              <w:spacing w:after="160" w:line="259" w:lineRule="auto"/>
            </w:pPr>
          </w:p>
        </w:tc>
      </w:tr>
    </w:tbl>
    <w:p w:rsidR="004D74C0" w:rsidRPr="007518D6" w:rsidRDefault="004D74C0" w:rsidP="007518D6">
      <w:pPr>
        <w:spacing w:before="100" w:beforeAutospacing="1" w:after="100" w:afterAutospacing="1" w:line="360" w:lineRule="auto"/>
        <w:jc w:val="both"/>
      </w:pPr>
    </w:p>
    <w:sectPr w:rsidR="004D74C0" w:rsidRPr="0075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B2CCF"/>
    <w:multiLevelType w:val="hybridMultilevel"/>
    <w:tmpl w:val="7C928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63FCD"/>
    <w:multiLevelType w:val="multilevel"/>
    <w:tmpl w:val="A68A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2"/>
    <w:rsid w:val="000E2980"/>
    <w:rsid w:val="001010BD"/>
    <w:rsid w:val="00244478"/>
    <w:rsid w:val="00451C07"/>
    <w:rsid w:val="004A311F"/>
    <w:rsid w:val="004D74C0"/>
    <w:rsid w:val="00607E30"/>
    <w:rsid w:val="0070335E"/>
    <w:rsid w:val="007518D6"/>
    <w:rsid w:val="007653E9"/>
    <w:rsid w:val="008843D2"/>
    <w:rsid w:val="00A168F8"/>
    <w:rsid w:val="00A17D12"/>
    <w:rsid w:val="00A22A13"/>
    <w:rsid w:val="00C5125E"/>
    <w:rsid w:val="00C916F5"/>
    <w:rsid w:val="00E802B0"/>
    <w:rsid w:val="00EF13AF"/>
    <w:rsid w:val="00F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337"/>
  <w15:chartTrackingRefBased/>
  <w15:docId w15:val="{09C6629C-DCF8-470C-BCBA-060E456F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5E"/>
    <w:pPr>
      <w:ind w:left="720"/>
      <w:contextualSpacing/>
    </w:pPr>
  </w:style>
  <w:style w:type="table" w:styleId="TableGrid">
    <w:name w:val="Table Grid"/>
    <w:basedOn w:val="TableNormal"/>
    <w:uiPriority w:val="39"/>
    <w:rsid w:val="004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seland.ie/dash/Account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Kelly</dc:creator>
  <cp:keywords/>
  <dc:description/>
  <cp:lastModifiedBy>Lisa Marry</cp:lastModifiedBy>
  <cp:revision>3</cp:revision>
  <dcterms:created xsi:type="dcterms:W3CDTF">2024-02-08T15:26:00Z</dcterms:created>
  <dcterms:modified xsi:type="dcterms:W3CDTF">2024-02-08T15:29:00Z</dcterms:modified>
</cp:coreProperties>
</file>