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A3A5" w14:textId="32879675" w:rsidR="00612B07" w:rsidRPr="00F53ECD" w:rsidRDefault="002C53D6" w:rsidP="005563B9">
      <w:pPr>
        <w:spacing w:line="276" w:lineRule="auto"/>
        <w:jc w:val="right"/>
        <w:rPr>
          <w:rFonts w:ascii="Calibri" w:hAnsi="Calibri" w:cs="Arial"/>
        </w:rPr>
      </w:pPr>
      <w:bookmarkStart w:id="0" w:name="_GoBack"/>
      <w:bookmarkEnd w:id="0"/>
      <w:r>
        <w:rPr>
          <w:rFonts w:ascii="Calibri" w:hAnsi="Calibri" w:cs="Arial"/>
          <w:noProof/>
          <w:lang w:val="en-IE" w:eastAsia="en-IE"/>
        </w:rPr>
        <w:drawing>
          <wp:inline distT="0" distB="0" distL="0" distR="0" wp14:anchorId="16A3E67D" wp14:editId="3F8A3A78">
            <wp:extent cx="29622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CP.png"/>
                    <pic:cNvPicPr/>
                  </pic:nvPicPr>
                  <pic:blipFill>
                    <a:blip r:embed="rId9">
                      <a:extLst>
                        <a:ext uri="{28A0092B-C50C-407E-A947-70E740481C1C}">
                          <a14:useLocalDpi xmlns:a14="http://schemas.microsoft.com/office/drawing/2010/main" val="0"/>
                        </a:ext>
                      </a:extLst>
                    </a:blip>
                    <a:stretch>
                      <a:fillRect/>
                    </a:stretch>
                  </pic:blipFill>
                  <pic:spPr>
                    <a:xfrm>
                      <a:off x="0" y="0"/>
                      <a:ext cx="2962705" cy="771637"/>
                    </a:xfrm>
                    <a:prstGeom prst="rect">
                      <a:avLst/>
                    </a:prstGeom>
                  </pic:spPr>
                </pic:pic>
              </a:graphicData>
            </a:graphic>
          </wp:inline>
        </w:drawing>
      </w:r>
      <w:r w:rsidR="00106D5E">
        <w:rPr>
          <w:rFonts w:ascii="Calibri" w:hAnsi="Calibri" w:cs="Arial"/>
          <w:noProof/>
          <w:lang w:val="en-IE" w:eastAsia="en-IE"/>
        </w:rPr>
        <w:drawing>
          <wp:anchor distT="0" distB="0" distL="114300" distR="114300" simplePos="0" relativeHeight="251657216" behindDoc="1" locked="0" layoutInCell="1" allowOverlap="1" wp14:anchorId="5443F01D" wp14:editId="55FA2AEA">
            <wp:simplePos x="0" y="0"/>
            <wp:positionH relativeFrom="column">
              <wp:posOffset>259715</wp:posOffset>
            </wp:positionH>
            <wp:positionV relativeFrom="paragraph">
              <wp:posOffset>0</wp:posOffset>
            </wp:positionV>
            <wp:extent cx="1045210" cy="866775"/>
            <wp:effectExtent l="0" t="0" r="2540" b="9525"/>
            <wp:wrapTight wrapText="bothSides">
              <wp:wrapPolygon edited="0">
                <wp:start x="0" y="0"/>
                <wp:lineTo x="0" y="21363"/>
                <wp:lineTo x="21259" y="21363"/>
                <wp:lineTo x="21259"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5210" cy="866775"/>
                    </a:xfrm>
                    <a:prstGeom prst="rect">
                      <a:avLst/>
                    </a:prstGeom>
                    <a:noFill/>
                  </pic:spPr>
                </pic:pic>
              </a:graphicData>
            </a:graphic>
            <wp14:sizeRelH relativeFrom="margin">
              <wp14:pctWidth>0</wp14:pctWidth>
            </wp14:sizeRelH>
          </wp:anchor>
        </w:drawing>
      </w:r>
    </w:p>
    <w:p w14:paraId="04EED8CC" w14:textId="7B479466" w:rsidR="00612B07" w:rsidRPr="00F53ECD" w:rsidRDefault="002C53D6" w:rsidP="00C27FB9">
      <w:pPr>
        <w:spacing w:line="276" w:lineRule="auto"/>
        <w:jc w:val="both"/>
        <w:rPr>
          <w:rFonts w:ascii="Calibri" w:hAnsi="Calibri" w:cs="Arial"/>
        </w:rPr>
      </w:pPr>
      <w:r>
        <w:rPr>
          <w:rFonts w:ascii="Calibri" w:hAnsi="Calibri" w:cs="Arial"/>
        </w:rPr>
        <w:t xml:space="preserve">                                                                          </w:t>
      </w:r>
    </w:p>
    <w:p w14:paraId="59FFB425" w14:textId="77777777" w:rsidR="00612B07" w:rsidRPr="00F53ECD" w:rsidRDefault="00612B07" w:rsidP="00C27FB9">
      <w:pPr>
        <w:spacing w:line="276" w:lineRule="auto"/>
        <w:jc w:val="both"/>
        <w:rPr>
          <w:rFonts w:ascii="Calibri" w:hAnsi="Calibri" w:cs="Arial"/>
        </w:rPr>
      </w:pPr>
    </w:p>
    <w:p w14:paraId="41AEC576" w14:textId="77777777" w:rsidR="00D12FA1" w:rsidRPr="00F53ECD" w:rsidRDefault="00D12FA1" w:rsidP="00C27FB9">
      <w:pPr>
        <w:spacing w:line="276" w:lineRule="auto"/>
        <w:jc w:val="both"/>
        <w:rPr>
          <w:rFonts w:ascii="Calibri" w:hAnsi="Calibri" w:cs="Arial"/>
          <w:b/>
          <w:sz w:val="28"/>
          <w:szCs w:val="28"/>
        </w:rPr>
      </w:pPr>
      <w:bookmarkStart w:id="1" w:name="_Toc450655805"/>
    </w:p>
    <w:p w14:paraId="68DA076C" w14:textId="77777777" w:rsidR="00D12FA1" w:rsidRPr="00F53ECD" w:rsidRDefault="00D12FA1" w:rsidP="00C27FB9">
      <w:pPr>
        <w:spacing w:line="276" w:lineRule="auto"/>
        <w:jc w:val="both"/>
        <w:rPr>
          <w:rFonts w:ascii="Calibri" w:hAnsi="Calibri" w:cs="Arial"/>
          <w:b/>
          <w:sz w:val="28"/>
          <w:szCs w:val="28"/>
        </w:rPr>
      </w:pPr>
    </w:p>
    <w:p w14:paraId="0F5BA5FC" w14:textId="77777777" w:rsidR="00D12FA1" w:rsidRPr="00F53ECD" w:rsidRDefault="00D12FA1" w:rsidP="00C27FB9">
      <w:pPr>
        <w:spacing w:line="276" w:lineRule="auto"/>
        <w:jc w:val="both"/>
        <w:rPr>
          <w:rFonts w:ascii="Calibri" w:hAnsi="Calibri" w:cs="Arial"/>
          <w:b/>
          <w:sz w:val="28"/>
          <w:szCs w:val="28"/>
        </w:rPr>
      </w:pPr>
    </w:p>
    <w:p w14:paraId="49FB6FAA" w14:textId="77777777" w:rsidR="0079186D" w:rsidRPr="00F53ECD" w:rsidRDefault="0079186D" w:rsidP="00C27FB9">
      <w:pPr>
        <w:spacing w:line="276" w:lineRule="auto"/>
        <w:jc w:val="both"/>
        <w:rPr>
          <w:rFonts w:ascii="Calibri" w:hAnsi="Calibri" w:cs="Arial"/>
          <w:b/>
          <w:sz w:val="28"/>
          <w:szCs w:val="28"/>
        </w:rPr>
      </w:pPr>
    </w:p>
    <w:p w14:paraId="4DF7B2A9" w14:textId="71A962C8" w:rsidR="00612B07" w:rsidRPr="00090828" w:rsidRDefault="008E1793" w:rsidP="00C27FB9">
      <w:pPr>
        <w:pStyle w:val="Title"/>
        <w:spacing w:line="276" w:lineRule="auto"/>
        <w:rPr>
          <w:color w:val="auto"/>
        </w:rPr>
      </w:pPr>
      <w:r w:rsidRPr="00F53ECD">
        <w:t xml:space="preserve">NCCP </w:t>
      </w:r>
      <w:r w:rsidR="00152D3A" w:rsidRPr="00090828">
        <w:rPr>
          <w:color w:val="auto"/>
        </w:rPr>
        <w:t>TEMPLATE SOP</w:t>
      </w:r>
      <w:bookmarkEnd w:id="1"/>
      <w:r w:rsidR="00343B17">
        <w:rPr>
          <w:color w:val="auto"/>
        </w:rPr>
        <w:t xml:space="preserve"> </w:t>
      </w:r>
      <w:r w:rsidR="00DB56CD">
        <w:rPr>
          <w:color w:val="auto"/>
        </w:rPr>
        <w:t xml:space="preserve">FOR LOCAL ADAPTATION </w:t>
      </w:r>
    </w:p>
    <w:p w14:paraId="328DD86F" w14:textId="00C6263C" w:rsidR="00612B07" w:rsidRPr="00090828" w:rsidRDefault="00090828" w:rsidP="00C27FB9">
      <w:pPr>
        <w:pStyle w:val="Title"/>
        <w:spacing w:line="276" w:lineRule="auto"/>
        <w:rPr>
          <w:color w:val="auto"/>
        </w:rPr>
      </w:pPr>
      <w:r w:rsidRPr="00090828">
        <w:rPr>
          <w:color w:val="auto"/>
        </w:rPr>
        <w:t>MANAGEMENT OF SACT DRUG SPILLAGES</w:t>
      </w:r>
    </w:p>
    <w:p w14:paraId="06B4E867" w14:textId="77777777" w:rsidR="00612B07" w:rsidRPr="00F53ECD" w:rsidRDefault="00612B07" w:rsidP="00C27FB9">
      <w:pPr>
        <w:spacing w:line="276" w:lineRule="auto"/>
      </w:pPr>
    </w:p>
    <w:p w14:paraId="6544753B" w14:textId="77777777" w:rsidR="00612B07" w:rsidRPr="00F53ECD" w:rsidRDefault="00612B07" w:rsidP="00C27FB9">
      <w:pPr>
        <w:spacing w:line="276" w:lineRule="auto"/>
      </w:pPr>
    </w:p>
    <w:p w14:paraId="2E05CF94" w14:textId="77777777" w:rsidR="00612B07" w:rsidRPr="00F53ECD" w:rsidRDefault="00612B07" w:rsidP="00C27FB9">
      <w:pPr>
        <w:spacing w:line="276" w:lineRule="auto"/>
      </w:pPr>
    </w:p>
    <w:p w14:paraId="04841DEE" w14:textId="77777777" w:rsidR="00911422" w:rsidRPr="00592555" w:rsidRDefault="00911422" w:rsidP="00C27FB9">
      <w:pPr>
        <w:spacing w:line="276" w:lineRule="auto"/>
        <w:jc w:val="center"/>
        <w:rPr>
          <w:b/>
        </w:rPr>
      </w:pPr>
    </w:p>
    <w:p w14:paraId="5B7CD494" w14:textId="77777777" w:rsidR="00911422" w:rsidRPr="009C5A5F" w:rsidRDefault="00911422" w:rsidP="00C27FB9">
      <w:pPr>
        <w:spacing w:line="276" w:lineRule="auto"/>
      </w:pPr>
    </w:p>
    <w:p w14:paraId="0F5BC49E" w14:textId="77777777" w:rsidR="006B7B3B" w:rsidRDefault="006B7B3B" w:rsidP="00C27FB9">
      <w:pPr>
        <w:spacing w:line="276" w:lineRule="auto"/>
        <w:rPr>
          <w:color w:val="948A54" w:themeColor="background2" w:themeShade="80"/>
        </w:rPr>
      </w:pPr>
    </w:p>
    <w:p w14:paraId="66947BFF" w14:textId="77777777" w:rsidR="006B7B3B" w:rsidRDefault="006B7B3B" w:rsidP="00C27FB9">
      <w:pPr>
        <w:spacing w:line="276" w:lineRule="auto"/>
        <w:rPr>
          <w:color w:val="948A54" w:themeColor="background2" w:themeShade="80"/>
        </w:rPr>
      </w:pPr>
    </w:p>
    <w:p w14:paraId="5511B819" w14:textId="77777777" w:rsidR="00911422" w:rsidRDefault="00911422" w:rsidP="00C27FB9">
      <w:pPr>
        <w:spacing w:line="276" w:lineRule="auto"/>
      </w:pPr>
    </w:p>
    <w:p w14:paraId="70F82FBE" w14:textId="77777777" w:rsidR="008C062F" w:rsidRDefault="0022600E" w:rsidP="00832812">
      <w:pPr>
        <w:spacing w:line="276" w:lineRule="auto"/>
        <w:jc w:val="both"/>
      </w:pPr>
      <w:r>
        <w:t xml:space="preserve">This template SOP has been developed </w:t>
      </w:r>
      <w:r w:rsidR="008C062F">
        <w:t xml:space="preserve">and approved </w:t>
      </w:r>
      <w:r>
        <w:t xml:space="preserve">by </w:t>
      </w:r>
      <w:r w:rsidR="00E66C36">
        <w:t xml:space="preserve">the </w:t>
      </w:r>
      <w:r>
        <w:t>NCCP</w:t>
      </w:r>
      <w:r w:rsidR="008C062F">
        <w:t>, considering the input of the parenteral SACT Resilience Group. The template is developed considering best practice and supported by evidence, as referenced, where available and appropriate</w:t>
      </w:r>
      <w:r>
        <w:t xml:space="preserve">. </w:t>
      </w:r>
    </w:p>
    <w:p w14:paraId="36D7B970" w14:textId="77777777" w:rsidR="008C062F" w:rsidRDefault="008C062F" w:rsidP="00832812">
      <w:pPr>
        <w:spacing w:line="276" w:lineRule="auto"/>
        <w:jc w:val="both"/>
      </w:pPr>
    </w:p>
    <w:p w14:paraId="33CAE94C" w14:textId="6D17DF82" w:rsidR="00343B17" w:rsidRPr="00343B17" w:rsidRDefault="00893EBA" w:rsidP="00832812">
      <w:pPr>
        <w:spacing w:line="276" w:lineRule="auto"/>
        <w:jc w:val="both"/>
        <w:rPr>
          <w:rFonts w:cstheme="minorHAnsi"/>
        </w:rPr>
      </w:pPr>
      <w:r>
        <w:rPr>
          <w:rFonts w:cstheme="minorHAnsi"/>
        </w:rPr>
        <w:t xml:space="preserve">Please note that these </w:t>
      </w:r>
      <w:r w:rsidR="00343B17" w:rsidRPr="00343B17">
        <w:rPr>
          <w:rFonts w:cstheme="minorHAnsi"/>
        </w:rPr>
        <w:t xml:space="preserve">template SOPS </w:t>
      </w:r>
      <w:r w:rsidR="00343B17" w:rsidRPr="00343B17">
        <w:rPr>
          <w:rFonts w:cstheme="minorHAnsi"/>
          <w:bCs/>
        </w:rPr>
        <w:t>are the minimum requirements to be used in ACU processes</w:t>
      </w:r>
      <w:r w:rsidR="00343B17" w:rsidRPr="00343B17">
        <w:rPr>
          <w:rFonts w:cstheme="minorHAnsi"/>
        </w:rPr>
        <w:t xml:space="preserve"> which should be adopted and adapted as appropriate to the local processes and documentation templates. </w:t>
      </w:r>
      <w:r w:rsidR="00343B17" w:rsidRPr="00343B17">
        <w:rPr>
          <w:rFonts w:cstheme="minorHAnsi"/>
          <w:bCs/>
        </w:rPr>
        <w:t>If these minimum requirements cannot be met, the reason for this should be clearly documented locally</w:t>
      </w:r>
      <w:r w:rsidR="00343B17" w:rsidRPr="00343B17">
        <w:rPr>
          <w:rFonts w:cstheme="minorHAnsi"/>
        </w:rPr>
        <w:t xml:space="preserve">. </w:t>
      </w:r>
    </w:p>
    <w:p w14:paraId="3FABD095" w14:textId="77777777" w:rsidR="00B436E1" w:rsidRPr="00343B17" w:rsidRDefault="00B436E1" w:rsidP="00C27FB9">
      <w:pPr>
        <w:spacing w:line="276" w:lineRule="auto"/>
        <w:rPr>
          <w:rFonts w:cstheme="minorHAnsi"/>
        </w:rPr>
      </w:pPr>
    </w:p>
    <w:p w14:paraId="3D6DB4C1" w14:textId="77777777" w:rsidR="00B436E1" w:rsidRPr="009C5A5F" w:rsidRDefault="00B436E1" w:rsidP="00C27FB9">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97"/>
        <w:gridCol w:w="4367"/>
        <w:gridCol w:w="2120"/>
      </w:tblGrid>
      <w:tr w:rsidR="00B436E1" w:rsidRPr="00FE3074" w14:paraId="20E4CE1C" w14:textId="77777777" w:rsidTr="008C062F">
        <w:tc>
          <w:tcPr>
            <w:tcW w:w="952" w:type="dxa"/>
            <w:shd w:val="clear" w:color="auto" w:fill="auto"/>
          </w:tcPr>
          <w:p w14:paraId="34BC14AC" w14:textId="77777777" w:rsidR="00B436E1" w:rsidRPr="00FE3074" w:rsidRDefault="00B436E1" w:rsidP="00C27FB9">
            <w:pPr>
              <w:spacing w:line="276" w:lineRule="auto"/>
              <w:rPr>
                <w:rFonts w:ascii="Calibri" w:hAnsi="Calibri"/>
                <w:b/>
                <w:sz w:val="20"/>
                <w:szCs w:val="20"/>
              </w:rPr>
            </w:pPr>
            <w:r w:rsidRPr="00FE3074">
              <w:rPr>
                <w:rFonts w:ascii="Calibri" w:hAnsi="Calibri"/>
                <w:b/>
                <w:sz w:val="20"/>
                <w:szCs w:val="20"/>
              </w:rPr>
              <w:t>Version</w:t>
            </w:r>
          </w:p>
        </w:tc>
        <w:tc>
          <w:tcPr>
            <w:tcW w:w="1197" w:type="dxa"/>
            <w:shd w:val="clear" w:color="auto" w:fill="auto"/>
          </w:tcPr>
          <w:p w14:paraId="2E71EC0B" w14:textId="77777777" w:rsidR="00B436E1" w:rsidRPr="00FE3074" w:rsidRDefault="00B436E1" w:rsidP="00C27FB9">
            <w:pPr>
              <w:spacing w:line="276" w:lineRule="auto"/>
              <w:rPr>
                <w:rFonts w:ascii="Calibri" w:hAnsi="Calibri"/>
                <w:b/>
                <w:sz w:val="20"/>
                <w:szCs w:val="20"/>
              </w:rPr>
            </w:pPr>
            <w:r w:rsidRPr="00FE3074">
              <w:rPr>
                <w:rFonts w:ascii="Calibri" w:hAnsi="Calibri"/>
                <w:b/>
                <w:sz w:val="20"/>
                <w:szCs w:val="20"/>
              </w:rPr>
              <w:t>Date</w:t>
            </w:r>
          </w:p>
        </w:tc>
        <w:tc>
          <w:tcPr>
            <w:tcW w:w="4367" w:type="dxa"/>
            <w:shd w:val="clear" w:color="auto" w:fill="auto"/>
          </w:tcPr>
          <w:p w14:paraId="63792880" w14:textId="77777777" w:rsidR="00B436E1" w:rsidRPr="00FE3074" w:rsidRDefault="00B436E1" w:rsidP="00C27FB9">
            <w:pPr>
              <w:spacing w:line="276" w:lineRule="auto"/>
              <w:rPr>
                <w:rFonts w:ascii="Calibri" w:hAnsi="Calibri"/>
                <w:b/>
                <w:sz w:val="20"/>
                <w:szCs w:val="20"/>
              </w:rPr>
            </w:pPr>
            <w:r w:rsidRPr="00FE3074">
              <w:rPr>
                <w:rFonts w:ascii="Calibri" w:hAnsi="Calibri"/>
                <w:b/>
                <w:sz w:val="20"/>
                <w:szCs w:val="20"/>
              </w:rPr>
              <w:t>Amendment</w:t>
            </w:r>
          </w:p>
        </w:tc>
        <w:tc>
          <w:tcPr>
            <w:tcW w:w="2120" w:type="dxa"/>
            <w:shd w:val="clear" w:color="auto" w:fill="auto"/>
          </w:tcPr>
          <w:p w14:paraId="3A13B3C8" w14:textId="77777777" w:rsidR="00B436E1" w:rsidRPr="00FE3074" w:rsidRDefault="00B436E1" w:rsidP="00C27FB9">
            <w:pPr>
              <w:spacing w:line="276" w:lineRule="auto"/>
              <w:rPr>
                <w:rFonts w:ascii="Calibri" w:hAnsi="Calibri"/>
                <w:b/>
                <w:sz w:val="20"/>
                <w:szCs w:val="20"/>
              </w:rPr>
            </w:pPr>
            <w:r w:rsidRPr="00FE3074">
              <w:rPr>
                <w:rFonts w:ascii="Calibri" w:hAnsi="Calibri"/>
                <w:b/>
                <w:sz w:val="20"/>
                <w:szCs w:val="20"/>
              </w:rPr>
              <w:t>Approved By</w:t>
            </w:r>
          </w:p>
        </w:tc>
      </w:tr>
      <w:tr w:rsidR="00B436E1" w:rsidRPr="00FE3074" w14:paraId="778CD9CC" w14:textId="77777777" w:rsidTr="008C062F">
        <w:tc>
          <w:tcPr>
            <w:tcW w:w="952" w:type="dxa"/>
            <w:shd w:val="clear" w:color="auto" w:fill="auto"/>
          </w:tcPr>
          <w:p w14:paraId="04C3C278" w14:textId="6119FB5D" w:rsidR="00B436E1" w:rsidRPr="00FE3074" w:rsidRDefault="00137E2E" w:rsidP="00C27FB9">
            <w:pPr>
              <w:spacing w:line="276" w:lineRule="auto"/>
              <w:rPr>
                <w:rFonts w:ascii="Calibri" w:hAnsi="Calibri"/>
                <w:sz w:val="20"/>
                <w:szCs w:val="20"/>
              </w:rPr>
            </w:pPr>
            <w:r>
              <w:rPr>
                <w:rFonts w:ascii="Calibri" w:hAnsi="Calibri"/>
                <w:sz w:val="20"/>
                <w:szCs w:val="20"/>
              </w:rPr>
              <w:t>V1</w:t>
            </w:r>
          </w:p>
        </w:tc>
        <w:tc>
          <w:tcPr>
            <w:tcW w:w="1197" w:type="dxa"/>
            <w:shd w:val="clear" w:color="auto" w:fill="auto"/>
          </w:tcPr>
          <w:p w14:paraId="65083535" w14:textId="4BC71FFF" w:rsidR="00B436E1" w:rsidRPr="00FE3074" w:rsidRDefault="00137E2E" w:rsidP="00137E2E">
            <w:pPr>
              <w:spacing w:line="276" w:lineRule="auto"/>
              <w:rPr>
                <w:rFonts w:ascii="Calibri" w:hAnsi="Calibri"/>
                <w:sz w:val="20"/>
                <w:szCs w:val="20"/>
              </w:rPr>
            </w:pPr>
            <w:r>
              <w:rPr>
                <w:rFonts w:ascii="Calibri" w:hAnsi="Calibri"/>
                <w:sz w:val="20"/>
                <w:szCs w:val="20"/>
              </w:rPr>
              <w:t>30</w:t>
            </w:r>
            <w:r w:rsidR="00893EBA">
              <w:rPr>
                <w:rFonts w:ascii="Calibri" w:hAnsi="Calibri"/>
                <w:sz w:val="20"/>
                <w:szCs w:val="20"/>
              </w:rPr>
              <w:t>/</w:t>
            </w:r>
            <w:r>
              <w:rPr>
                <w:rFonts w:ascii="Calibri" w:hAnsi="Calibri"/>
                <w:sz w:val="20"/>
                <w:szCs w:val="20"/>
              </w:rPr>
              <w:t>11</w:t>
            </w:r>
            <w:r w:rsidR="00F93F53">
              <w:rPr>
                <w:rFonts w:ascii="Calibri" w:hAnsi="Calibri"/>
                <w:sz w:val="20"/>
                <w:szCs w:val="20"/>
              </w:rPr>
              <w:t>/</w:t>
            </w:r>
            <w:r w:rsidR="00893EBA">
              <w:rPr>
                <w:rFonts w:ascii="Calibri" w:hAnsi="Calibri"/>
                <w:sz w:val="20"/>
                <w:szCs w:val="20"/>
              </w:rPr>
              <w:t>20</w:t>
            </w:r>
            <w:r w:rsidR="00F93F53">
              <w:rPr>
                <w:rFonts w:ascii="Calibri" w:hAnsi="Calibri"/>
                <w:sz w:val="20"/>
                <w:szCs w:val="20"/>
              </w:rPr>
              <w:t>21</w:t>
            </w:r>
          </w:p>
        </w:tc>
        <w:tc>
          <w:tcPr>
            <w:tcW w:w="4367" w:type="dxa"/>
            <w:shd w:val="clear" w:color="auto" w:fill="auto"/>
          </w:tcPr>
          <w:p w14:paraId="06EE1444" w14:textId="77777777" w:rsidR="00B436E1" w:rsidRPr="00FE3074" w:rsidRDefault="00B436E1" w:rsidP="00C27FB9">
            <w:pPr>
              <w:spacing w:line="276" w:lineRule="auto"/>
              <w:rPr>
                <w:rFonts w:ascii="Calibri" w:hAnsi="Calibri"/>
                <w:sz w:val="20"/>
                <w:szCs w:val="20"/>
              </w:rPr>
            </w:pPr>
          </w:p>
        </w:tc>
        <w:tc>
          <w:tcPr>
            <w:tcW w:w="2120" w:type="dxa"/>
            <w:shd w:val="clear" w:color="auto" w:fill="auto"/>
          </w:tcPr>
          <w:p w14:paraId="768C184B" w14:textId="1DBC1FE4" w:rsidR="00B436E1" w:rsidRPr="00FE3074" w:rsidRDefault="008C062F" w:rsidP="00C27FB9">
            <w:pPr>
              <w:spacing w:line="276" w:lineRule="auto"/>
              <w:rPr>
                <w:rFonts w:ascii="Calibri" w:hAnsi="Calibri"/>
                <w:sz w:val="20"/>
                <w:szCs w:val="20"/>
              </w:rPr>
            </w:pPr>
            <w:r>
              <w:rPr>
                <w:rFonts w:ascii="Calibri" w:hAnsi="Calibri"/>
                <w:sz w:val="20"/>
                <w:szCs w:val="20"/>
              </w:rPr>
              <w:t>NCCP</w:t>
            </w:r>
          </w:p>
        </w:tc>
      </w:tr>
      <w:tr w:rsidR="00592555" w:rsidRPr="00FE3074" w14:paraId="39B39CD3" w14:textId="77777777" w:rsidTr="008C062F">
        <w:tc>
          <w:tcPr>
            <w:tcW w:w="952" w:type="dxa"/>
            <w:shd w:val="clear" w:color="auto" w:fill="auto"/>
          </w:tcPr>
          <w:p w14:paraId="718C5E51" w14:textId="514D01EC" w:rsidR="00592555" w:rsidRPr="00FE3074" w:rsidRDefault="00555B52" w:rsidP="00C27FB9">
            <w:pPr>
              <w:spacing w:line="276" w:lineRule="auto"/>
              <w:rPr>
                <w:rFonts w:ascii="Calibri" w:hAnsi="Calibri"/>
                <w:sz w:val="20"/>
                <w:szCs w:val="20"/>
              </w:rPr>
            </w:pPr>
            <w:r>
              <w:rPr>
                <w:rFonts w:ascii="Calibri" w:hAnsi="Calibri"/>
                <w:sz w:val="20"/>
                <w:szCs w:val="20"/>
              </w:rPr>
              <w:t>V1a</w:t>
            </w:r>
          </w:p>
        </w:tc>
        <w:tc>
          <w:tcPr>
            <w:tcW w:w="1197" w:type="dxa"/>
            <w:shd w:val="clear" w:color="auto" w:fill="auto"/>
          </w:tcPr>
          <w:p w14:paraId="310B4954" w14:textId="5604D1E4" w:rsidR="00592555" w:rsidRPr="00FE3074" w:rsidRDefault="00555B52" w:rsidP="00C27FB9">
            <w:pPr>
              <w:spacing w:line="276" w:lineRule="auto"/>
              <w:rPr>
                <w:rFonts w:ascii="Calibri" w:hAnsi="Calibri"/>
                <w:sz w:val="20"/>
                <w:szCs w:val="20"/>
              </w:rPr>
            </w:pPr>
            <w:r>
              <w:rPr>
                <w:rFonts w:ascii="Calibri" w:hAnsi="Calibri"/>
                <w:sz w:val="20"/>
                <w:szCs w:val="20"/>
              </w:rPr>
              <w:t>11/01/</w:t>
            </w:r>
            <w:r w:rsidR="00001C88">
              <w:rPr>
                <w:rFonts w:ascii="Calibri" w:hAnsi="Calibri"/>
                <w:sz w:val="20"/>
                <w:szCs w:val="20"/>
              </w:rPr>
              <w:t>2022</w:t>
            </w:r>
          </w:p>
        </w:tc>
        <w:tc>
          <w:tcPr>
            <w:tcW w:w="4367" w:type="dxa"/>
            <w:shd w:val="clear" w:color="auto" w:fill="auto"/>
          </w:tcPr>
          <w:p w14:paraId="1908F7C1" w14:textId="20B28965" w:rsidR="00592555" w:rsidRPr="00FE3074" w:rsidRDefault="00555B52" w:rsidP="00C27FB9">
            <w:pPr>
              <w:spacing w:line="276" w:lineRule="auto"/>
              <w:rPr>
                <w:rFonts w:ascii="Calibri" w:hAnsi="Calibri"/>
                <w:sz w:val="20"/>
                <w:szCs w:val="20"/>
              </w:rPr>
            </w:pPr>
            <w:r>
              <w:rPr>
                <w:rFonts w:ascii="Calibri" w:hAnsi="Calibri"/>
                <w:sz w:val="20"/>
                <w:szCs w:val="20"/>
              </w:rPr>
              <w:t xml:space="preserve">Wording on ocular </w:t>
            </w:r>
            <w:proofErr w:type="gramStart"/>
            <w:r>
              <w:rPr>
                <w:rFonts w:ascii="Calibri" w:hAnsi="Calibri"/>
                <w:sz w:val="20"/>
                <w:szCs w:val="20"/>
              </w:rPr>
              <w:t xml:space="preserve">management </w:t>
            </w:r>
            <w:r w:rsidR="002747D2">
              <w:rPr>
                <w:rFonts w:ascii="Calibri" w:hAnsi="Calibri"/>
                <w:sz w:val="20"/>
                <w:szCs w:val="20"/>
              </w:rPr>
              <w:t>.</w:t>
            </w:r>
            <w:proofErr w:type="gramEnd"/>
            <w:r w:rsidR="002747D2">
              <w:rPr>
                <w:rFonts w:ascii="Calibri" w:hAnsi="Calibri"/>
                <w:sz w:val="20"/>
                <w:szCs w:val="20"/>
              </w:rPr>
              <w:t xml:space="preserve"> Updated references</w:t>
            </w:r>
          </w:p>
        </w:tc>
        <w:tc>
          <w:tcPr>
            <w:tcW w:w="2120" w:type="dxa"/>
            <w:shd w:val="clear" w:color="auto" w:fill="auto"/>
          </w:tcPr>
          <w:p w14:paraId="08157199" w14:textId="77777777" w:rsidR="00592555" w:rsidRPr="00FE3074" w:rsidRDefault="00592555" w:rsidP="00C27FB9">
            <w:pPr>
              <w:spacing w:line="276" w:lineRule="auto"/>
              <w:rPr>
                <w:rFonts w:ascii="Calibri" w:hAnsi="Calibri"/>
                <w:sz w:val="20"/>
                <w:szCs w:val="20"/>
              </w:rPr>
            </w:pPr>
          </w:p>
        </w:tc>
      </w:tr>
      <w:tr w:rsidR="002C53D6" w:rsidRPr="00FE3074" w14:paraId="04228464" w14:textId="77777777" w:rsidTr="008C062F">
        <w:tc>
          <w:tcPr>
            <w:tcW w:w="952" w:type="dxa"/>
            <w:shd w:val="clear" w:color="auto" w:fill="auto"/>
          </w:tcPr>
          <w:p w14:paraId="55415FAD" w14:textId="70700FB2" w:rsidR="002C53D6" w:rsidRDefault="002C53D6" w:rsidP="00C27FB9">
            <w:pPr>
              <w:spacing w:line="276" w:lineRule="auto"/>
              <w:rPr>
                <w:rFonts w:ascii="Calibri" w:hAnsi="Calibri"/>
                <w:sz w:val="20"/>
                <w:szCs w:val="20"/>
              </w:rPr>
            </w:pPr>
            <w:r>
              <w:rPr>
                <w:rFonts w:ascii="Calibri" w:hAnsi="Calibri"/>
                <w:sz w:val="20"/>
                <w:szCs w:val="20"/>
              </w:rPr>
              <w:t>V1b</w:t>
            </w:r>
          </w:p>
        </w:tc>
        <w:tc>
          <w:tcPr>
            <w:tcW w:w="1197" w:type="dxa"/>
            <w:shd w:val="clear" w:color="auto" w:fill="auto"/>
          </w:tcPr>
          <w:p w14:paraId="48005899" w14:textId="637AA572" w:rsidR="002C53D6" w:rsidRDefault="002C53D6" w:rsidP="00C27FB9">
            <w:pPr>
              <w:spacing w:line="276" w:lineRule="auto"/>
              <w:rPr>
                <w:rFonts w:ascii="Calibri" w:hAnsi="Calibri"/>
                <w:sz w:val="20"/>
                <w:szCs w:val="20"/>
              </w:rPr>
            </w:pPr>
            <w:r>
              <w:rPr>
                <w:rFonts w:ascii="Calibri" w:hAnsi="Calibri"/>
                <w:sz w:val="20"/>
                <w:szCs w:val="20"/>
              </w:rPr>
              <w:t>18/10/2023</w:t>
            </w:r>
          </w:p>
        </w:tc>
        <w:tc>
          <w:tcPr>
            <w:tcW w:w="4367" w:type="dxa"/>
            <w:shd w:val="clear" w:color="auto" w:fill="auto"/>
          </w:tcPr>
          <w:p w14:paraId="5053BCDF" w14:textId="41EA0EF4" w:rsidR="002C53D6" w:rsidRDefault="002C53D6" w:rsidP="00C27FB9">
            <w:pPr>
              <w:spacing w:line="276" w:lineRule="auto"/>
              <w:rPr>
                <w:rFonts w:ascii="Calibri" w:hAnsi="Calibri"/>
                <w:sz w:val="20"/>
                <w:szCs w:val="20"/>
              </w:rPr>
            </w:pPr>
            <w:r>
              <w:rPr>
                <w:rFonts w:ascii="Calibri" w:hAnsi="Calibri"/>
                <w:sz w:val="20"/>
                <w:szCs w:val="20"/>
              </w:rPr>
              <w:t>Update to foot</w:t>
            </w:r>
            <w:r w:rsidR="00EA5F5B">
              <w:rPr>
                <w:rFonts w:ascii="Calibri" w:hAnsi="Calibri"/>
                <w:sz w:val="20"/>
                <w:szCs w:val="20"/>
              </w:rPr>
              <w:t>er</w:t>
            </w:r>
            <w:r>
              <w:rPr>
                <w:rFonts w:ascii="Calibri" w:hAnsi="Calibri"/>
                <w:sz w:val="20"/>
                <w:szCs w:val="20"/>
              </w:rPr>
              <w:t xml:space="preserve"> </w:t>
            </w:r>
          </w:p>
        </w:tc>
        <w:tc>
          <w:tcPr>
            <w:tcW w:w="2120" w:type="dxa"/>
            <w:shd w:val="clear" w:color="auto" w:fill="auto"/>
          </w:tcPr>
          <w:p w14:paraId="3781A84E" w14:textId="5C2F1B4B" w:rsidR="002C53D6" w:rsidRPr="00FE3074" w:rsidRDefault="002C53D6" w:rsidP="00C27FB9">
            <w:pPr>
              <w:spacing w:line="276" w:lineRule="auto"/>
              <w:rPr>
                <w:rFonts w:ascii="Calibri" w:hAnsi="Calibri"/>
                <w:sz w:val="20"/>
                <w:szCs w:val="20"/>
              </w:rPr>
            </w:pPr>
            <w:r>
              <w:rPr>
                <w:rFonts w:ascii="Calibri" w:hAnsi="Calibri"/>
                <w:sz w:val="20"/>
                <w:szCs w:val="20"/>
              </w:rPr>
              <w:t xml:space="preserve">NCCP </w:t>
            </w:r>
          </w:p>
        </w:tc>
      </w:tr>
    </w:tbl>
    <w:p w14:paraId="3A9424DE" w14:textId="77777777" w:rsidR="00FD4589" w:rsidRDefault="00FD4589" w:rsidP="00C27FB9">
      <w:pPr>
        <w:spacing w:line="276" w:lineRule="auto"/>
      </w:pPr>
      <w:bookmarkStart w:id="2" w:name="_Toc450655808"/>
    </w:p>
    <w:p w14:paraId="605726CC" w14:textId="77777777" w:rsidR="00BC2533" w:rsidRDefault="00BC2533" w:rsidP="00C27FB9">
      <w:pPr>
        <w:spacing w:line="276" w:lineRule="auto"/>
      </w:pPr>
    </w:p>
    <w:p w14:paraId="0A784B43" w14:textId="77777777" w:rsidR="00BC2533" w:rsidRDefault="00BC2533" w:rsidP="00C27FB9">
      <w:pPr>
        <w:spacing w:line="276" w:lineRule="auto"/>
        <w:jc w:val="center"/>
        <w:rPr>
          <w:rStyle w:val="Hyperlink"/>
        </w:rPr>
      </w:pPr>
      <w:r>
        <w:t xml:space="preserve">All comments and feedback are welcome at </w:t>
      </w:r>
      <w:hyperlink r:id="rId11" w:history="1">
        <w:r w:rsidRPr="00E33378">
          <w:rPr>
            <w:rStyle w:val="Hyperlink"/>
          </w:rPr>
          <w:t>oncologydrugs@cancercontrol.ie</w:t>
        </w:r>
      </w:hyperlink>
    </w:p>
    <w:p w14:paraId="43EBF313" w14:textId="77777777" w:rsidR="00152D3A" w:rsidRDefault="00152D3A" w:rsidP="00C27FB9">
      <w:pPr>
        <w:spacing w:line="276" w:lineRule="auto"/>
      </w:pPr>
    </w:p>
    <w:bookmarkEnd w:id="2"/>
    <w:p w14:paraId="18F19430" w14:textId="7BDAA9BD" w:rsidR="00612B07" w:rsidRPr="00592555" w:rsidRDefault="002E71AD" w:rsidP="00C27FB9">
      <w:pPr>
        <w:pStyle w:val="Heading1"/>
        <w:spacing w:line="276" w:lineRule="auto"/>
      </w:pPr>
      <w:r w:rsidRPr="00D22921">
        <w:fldChar w:fldCharType="begin"/>
      </w:r>
      <w:r w:rsidR="00612B07" w:rsidRPr="00B554A1">
        <w:instrText xml:space="preserve"> TOC \o \t "Heading 2,2" </w:instrText>
      </w:r>
      <w:r w:rsidRPr="00D22921">
        <w:fldChar w:fldCharType="end"/>
      </w:r>
      <w:r w:rsidR="00152D3A">
        <w:t>Purpose</w:t>
      </w:r>
      <w:r w:rsidR="00114F9F">
        <w:tab/>
      </w:r>
      <w:r w:rsidR="00114F9F">
        <w:tab/>
      </w:r>
    </w:p>
    <w:p w14:paraId="66231D0D" w14:textId="1F856426" w:rsidR="00832812" w:rsidRDefault="00152D3A" w:rsidP="00C27FB9">
      <w:pPr>
        <w:spacing w:line="276" w:lineRule="auto"/>
        <w:jc w:val="both"/>
        <w:rPr>
          <w:rFonts w:ascii="Calibri" w:hAnsi="Calibri" w:cs="Arial"/>
        </w:rPr>
      </w:pPr>
      <w:r>
        <w:rPr>
          <w:rFonts w:ascii="Calibri" w:hAnsi="Calibri" w:cs="Arial"/>
        </w:rPr>
        <w:t>The purpose of this</w:t>
      </w:r>
      <w:r w:rsidR="00090828">
        <w:rPr>
          <w:rFonts w:ascii="Calibri" w:hAnsi="Calibri" w:cs="Arial"/>
        </w:rPr>
        <w:t xml:space="preserve"> standard operating procedure is to</w:t>
      </w:r>
      <w:r w:rsidR="00497D1C">
        <w:rPr>
          <w:rFonts w:ascii="Calibri" w:hAnsi="Calibri" w:cs="Arial"/>
        </w:rPr>
        <w:t>:</w:t>
      </w:r>
    </w:p>
    <w:p w14:paraId="3583E3FE" w14:textId="056D8F35" w:rsidR="00832812" w:rsidRDefault="00497D1C" w:rsidP="00497D1C">
      <w:pPr>
        <w:pStyle w:val="ListParagraph"/>
        <w:numPr>
          <w:ilvl w:val="0"/>
          <w:numId w:val="43"/>
        </w:numPr>
        <w:spacing w:line="276" w:lineRule="auto"/>
        <w:jc w:val="both"/>
        <w:rPr>
          <w:rFonts w:ascii="Calibri" w:hAnsi="Calibri" w:cs="Arial"/>
        </w:rPr>
      </w:pPr>
      <w:r>
        <w:rPr>
          <w:rFonts w:ascii="Calibri" w:hAnsi="Calibri" w:cs="Arial"/>
        </w:rPr>
        <w:t>D</w:t>
      </w:r>
      <w:r w:rsidR="00090828" w:rsidRPr="00497D1C">
        <w:rPr>
          <w:rFonts w:ascii="Calibri" w:hAnsi="Calibri" w:cs="Arial"/>
        </w:rPr>
        <w:t xml:space="preserve">escribe the process for dealing with systemic anticancer therapy (SACT) drug spillages within the aseptic compounding unit (ACU) and any areas that have SACT drugs present </w:t>
      </w:r>
    </w:p>
    <w:p w14:paraId="43A86E5B" w14:textId="7638864E" w:rsidR="00592555" w:rsidRPr="00497D1C" w:rsidRDefault="00497D1C" w:rsidP="00497D1C">
      <w:pPr>
        <w:pStyle w:val="ListParagraph"/>
        <w:numPr>
          <w:ilvl w:val="0"/>
          <w:numId w:val="43"/>
        </w:numPr>
        <w:spacing w:line="276" w:lineRule="auto"/>
        <w:jc w:val="both"/>
        <w:rPr>
          <w:rFonts w:ascii="Calibri" w:hAnsi="Calibri" w:cs="Arial"/>
        </w:rPr>
      </w:pPr>
      <w:r>
        <w:rPr>
          <w:rFonts w:ascii="Calibri" w:hAnsi="Calibri" w:cs="Arial"/>
        </w:rPr>
        <w:t xml:space="preserve">Describe </w:t>
      </w:r>
      <w:r w:rsidR="00090828" w:rsidRPr="00497D1C">
        <w:rPr>
          <w:rFonts w:ascii="Calibri" w:hAnsi="Calibri" w:cs="Arial"/>
        </w:rPr>
        <w:t xml:space="preserve">the </w:t>
      </w:r>
      <w:r w:rsidR="00310AF3">
        <w:rPr>
          <w:rFonts w:ascii="Calibri" w:hAnsi="Calibri" w:cs="Arial"/>
        </w:rPr>
        <w:t>recommended contents</w:t>
      </w:r>
      <w:r w:rsidR="00090828" w:rsidRPr="00497D1C">
        <w:rPr>
          <w:rFonts w:ascii="Calibri" w:hAnsi="Calibri" w:cs="Arial"/>
        </w:rPr>
        <w:t xml:space="preserve"> of spill kits.</w:t>
      </w:r>
      <w:r w:rsidR="009C07BC" w:rsidRPr="00497D1C">
        <w:rPr>
          <w:rFonts w:ascii="Calibri" w:hAnsi="Calibri" w:cs="Arial"/>
        </w:rPr>
        <w:t xml:space="preserve"> </w:t>
      </w:r>
    </w:p>
    <w:p w14:paraId="4397C8AB" w14:textId="77777777" w:rsidR="00592555" w:rsidRDefault="00592555" w:rsidP="00C27FB9">
      <w:pPr>
        <w:spacing w:line="276" w:lineRule="auto"/>
        <w:jc w:val="both"/>
        <w:rPr>
          <w:rFonts w:ascii="Calibri" w:hAnsi="Calibri" w:cs="Arial"/>
        </w:rPr>
      </w:pPr>
    </w:p>
    <w:p w14:paraId="30FA178C" w14:textId="77777777" w:rsidR="00152D3A" w:rsidRPr="00592555" w:rsidRDefault="00152D3A" w:rsidP="00C27FB9">
      <w:pPr>
        <w:pStyle w:val="Heading1"/>
        <w:spacing w:line="276" w:lineRule="auto"/>
      </w:pPr>
      <w:r>
        <w:t>Scope</w:t>
      </w:r>
      <w:r>
        <w:tab/>
      </w:r>
      <w:r>
        <w:tab/>
      </w:r>
    </w:p>
    <w:p w14:paraId="399A5639" w14:textId="66AC1B68" w:rsidR="00152D3A" w:rsidRDefault="00152D3A" w:rsidP="00C27FB9">
      <w:pPr>
        <w:spacing w:line="276" w:lineRule="auto"/>
        <w:jc w:val="both"/>
      </w:pPr>
      <w:r>
        <w:rPr>
          <w:rFonts w:ascii="Calibri" w:hAnsi="Calibri" w:cs="Arial"/>
        </w:rPr>
        <w:t>The scope of this</w:t>
      </w:r>
      <w:r w:rsidR="001B6143">
        <w:rPr>
          <w:rFonts w:ascii="Calibri" w:hAnsi="Calibri" w:cs="Arial"/>
        </w:rPr>
        <w:t xml:space="preserve"> </w:t>
      </w:r>
      <w:r w:rsidR="00090828">
        <w:rPr>
          <w:rFonts w:ascii="Calibri" w:hAnsi="Calibri" w:cs="Arial"/>
        </w:rPr>
        <w:t>SOP</w:t>
      </w:r>
      <w:r w:rsidR="001B6143">
        <w:rPr>
          <w:rFonts w:ascii="Calibri" w:hAnsi="Calibri" w:cs="Arial"/>
        </w:rPr>
        <w:t xml:space="preserve"> </w:t>
      </w:r>
      <w:r w:rsidR="00090828">
        <w:rPr>
          <w:rFonts w:ascii="Calibri" w:hAnsi="Calibri" w:cs="Arial"/>
        </w:rPr>
        <w:t>includes the process that applies to all staff dealing with SACT drug spillages and the preparation of SACT spillage kits in an ACU.</w:t>
      </w:r>
    </w:p>
    <w:p w14:paraId="70EA8938" w14:textId="77777777" w:rsidR="00152D3A" w:rsidRDefault="00152D3A" w:rsidP="00C27FB9">
      <w:pPr>
        <w:spacing w:line="276" w:lineRule="auto"/>
        <w:jc w:val="both"/>
        <w:rPr>
          <w:rFonts w:ascii="Calibri" w:hAnsi="Calibri" w:cs="Arial"/>
        </w:rPr>
      </w:pPr>
    </w:p>
    <w:p w14:paraId="2E6FDC25" w14:textId="77777777" w:rsidR="00152D3A" w:rsidRPr="00592555" w:rsidRDefault="00152D3A" w:rsidP="00C27FB9">
      <w:pPr>
        <w:pStyle w:val="Heading1"/>
        <w:spacing w:line="276" w:lineRule="auto"/>
      </w:pPr>
      <w:r>
        <w:t>Definitions</w:t>
      </w:r>
      <w:r>
        <w:tab/>
      </w:r>
      <w:r>
        <w:tab/>
      </w:r>
    </w:p>
    <w:tbl>
      <w:tblPr>
        <w:tblStyle w:val="TableGrid"/>
        <w:tblW w:w="0" w:type="auto"/>
        <w:tblLook w:val="04A0" w:firstRow="1" w:lastRow="0" w:firstColumn="1" w:lastColumn="0" w:noHBand="0" w:noVBand="1"/>
      </w:tblPr>
      <w:tblGrid>
        <w:gridCol w:w="3539"/>
        <w:gridCol w:w="5097"/>
      </w:tblGrid>
      <w:tr w:rsidR="00152D3A" w14:paraId="7F2BF9B5" w14:textId="77777777" w:rsidTr="00662D6D">
        <w:tc>
          <w:tcPr>
            <w:tcW w:w="3539" w:type="dxa"/>
          </w:tcPr>
          <w:p w14:paraId="5B7143EA" w14:textId="73A459BE" w:rsidR="00152D3A" w:rsidRPr="00152D3A" w:rsidRDefault="00090828" w:rsidP="00C27FB9">
            <w:pPr>
              <w:spacing w:line="276" w:lineRule="auto"/>
              <w:jc w:val="both"/>
              <w:rPr>
                <w:rFonts w:ascii="Calibri" w:hAnsi="Calibri" w:cs="Arial"/>
                <w:b/>
              </w:rPr>
            </w:pPr>
            <w:r>
              <w:rPr>
                <w:rFonts w:ascii="Calibri" w:hAnsi="Calibri" w:cs="Arial"/>
                <w:b/>
              </w:rPr>
              <w:t>ACU</w:t>
            </w:r>
          </w:p>
        </w:tc>
        <w:tc>
          <w:tcPr>
            <w:tcW w:w="5097" w:type="dxa"/>
          </w:tcPr>
          <w:p w14:paraId="23473E41" w14:textId="0313BC9F" w:rsidR="00152D3A" w:rsidRDefault="00090828" w:rsidP="00C27FB9">
            <w:pPr>
              <w:spacing w:line="276" w:lineRule="auto"/>
              <w:jc w:val="both"/>
              <w:rPr>
                <w:rFonts w:ascii="Calibri" w:hAnsi="Calibri" w:cs="Arial"/>
              </w:rPr>
            </w:pPr>
            <w:r>
              <w:rPr>
                <w:rFonts w:ascii="Calibri" w:hAnsi="Calibri" w:cs="Arial"/>
              </w:rPr>
              <w:t>Aseptic Compounding Unit</w:t>
            </w:r>
          </w:p>
        </w:tc>
      </w:tr>
      <w:tr w:rsidR="00090828" w14:paraId="5A79DE04" w14:textId="77777777" w:rsidTr="00662D6D">
        <w:tc>
          <w:tcPr>
            <w:tcW w:w="3539" w:type="dxa"/>
          </w:tcPr>
          <w:p w14:paraId="55179A80" w14:textId="3ED69E6C" w:rsidR="00090828" w:rsidRPr="00AC5D1D" w:rsidRDefault="00090828" w:rsidP="00090828">
            <w:pPr>
              <w:spacing w:line="276" w:lineRule="auto"/>
              <w:jc w:val="both"/>
              <w:rPr>
                <w:rFonts w:ascii="Calibri" w:hAnsi="Calibri" w:cs="Arial"/>
                <w:b/>
              </w:rPr>
            </w:pPr>
            <w:r w:rsidRPr="00AC5D1D">
              <w:rPr>
                <w:rFonts w:ascii="Calibri" w:hAnsi="Calibri" w:cs="Arial"/>
                <w:b/>
              </w:rPr>
              <w:t>MSDS</w:t>
            </w:r>
          </w:p>
        </w:tc>
        <w:tc>
          <w:tcPr>
            <w:tcW w:w="5097" w:type="dxa"/>
          </w:tcPr>
          <w:p w14:paraId="058F032F" w14:textId="650513C1" w:rsidR="00090828" w:rsidRDefault="00090828" w:rsidP="00090828">
            <w:pPr>
              <w:spacing w:line="276" w:lineRule="auto"/>
              <w:jc w:val="both"/>
              <w:rPr>
                <w:rFonts w:ascii="Calibri" w:hAnsi="Calibri" w:cs="Arial"/>
              </w:rPr>
            </w:pPr>
            <w:r>
              <w:rPr>
                <w:rFonts w:ascii="Calibri" w:hAnsi="Calibri" w:cs="Arial"/>
              </w:rPr>
              <w:t>Material Safety Data Sheet</w:t>
            </w:r>
          </w:p>
        </w:tc>
      </w:tr>
      <w:tr w:rsidR="00090828" w14:paraId="5D4AF644" w14:textId="77777777" w:rsidTr="00662D6D">
        <w:tc>
          <w:tcPr>
            <w:tcW w:w="3539" w:type="dxa"/>
          </w:tcPr>
          <w:p w14:paraId="10472549" w14:textId="00DC59A9" w:rsidR="00090828" w:rsidRPr="00AC5D1D" w:rsidRDefault="00090828" w:rsidP="00090828">
            <w:pPr>
              <w:spacing w:line="276" w:lineRule="auto"/>
              <w:jc w:val="both"/>
              <w:rPr>
                <w:rFonts w:ascii="Calibri" w:hAnsi="Calibri" w:cs="Arial"/>
                <w:b/>
              </w:rPr>
            </w:pPr>
            <w:r w:rsidRPr="00AC5D1D">
              <w:rPr>
                <w:rFonts w:ascii="Calibri" w:hAnsi="Calibri" w:cs="Arial"/>
                <w:b/>
              </w:rPr>
              <w:t>PPE</w:t>
            </w:r>
          </w:p>
        </w:tc>
        <w:tc>
          <w:tcPr>
            <w:tcW w:w="5097" w:type="dxa"/>
          </w:tcPr>
          <w:p w14:paraId="146E0F3B" w14:textId="23FB4A10" w:rsidR="00090828" w:rsidRDefault="00090828" w:rsidP="00090828">
            <w:pPr>
              <w:spacing w:line="276" w:lineRule="auto"/>
              <w:jc w:val="both"/>
              <w:rPr>
                <w:rFonts w:ascii="Calibri" w:hAnsi="Calibri" w:cs="Arial"/>
              </w:rPr>
            </w:pPr>
            <w:r>
              <w:rPr>
                <w:rFonts w:ascii="Calibri" w:hAnsi="Calibri" w:cs="Arial"/>
              </w:rPr>
              <w:t>Personal Protection Equipment</w:t>
            </w:r>
          </w:p>
        </w:tc>
      </w:tr>
      <w:tr w:rsidR="00090828" w14:paraId="27A65430" w14:textId="77777777" w:rsidTr="00662D6D">
        <w:tc>
          <w:tcPr>
            <w:tcW w:w="3539" w:type="dxa"/>
          </w:tcPr>
          <w:p w14:paraId="79A2036D" w14:textId="3D42DD2F" w:rsidR="00090828" w:rsidRDefault="00090828" w:rsidP="00090828">
            <w:pPr>
              <w:spacing w:line="276" w:lineRule="auto"/>
              <w:jc w:val="both"/>
              <w:rPr>
                <w:rFonts w:ascii="Calibri" w:hAnsi="Calibri" w:cs="Arial"/>
              </w:rPr>
            </w:pPr>
            <w:r w:rsidRPr="00152D3A">
              <w:rPr>
                <w:rFonts w:ascii="Calibri" w:hAnsi="Calibri" w:cs="Arial"/>
                <w:b/>
              </w:rPr>
              <w:t>SACT</w:t>
            </w:r>
          </w:p>
        </w:tc>
        <w:tc>
          <w:tcPr>
            <w:tcW w:w="5097" w:type="dxa"/>
          </w:tcPr>
          <w:p w14:paraId="576A64B5" w14:textId="492C1F87" w:rsidR="00090828" w:rsidRDefault="00090828" w:rsidP="00090828">
            <w:pPr>
              <w:spacing w:line="276" w:lineRule="auto"/>
              <w:jc w:val="both"/>
              <w:rPr>
                <w:rFonts w:ascii="Calibri" w:hAnsi="Calibri" w:cs="Arial"/>
              </w:rPr>
            </w:pPr>
            <w:r w:rsidRPr="00152D3A">
              <w:rPr>
                <w:rFonts w:ascii="Calibri" w:hAnsi="Calibri" w:cs="Arial"/>
              </w:rPr>
              <w:t>Systemic Anti-Cancer Therapy</w:t>
            </w:r>
          </w:p>
        </w:tc>
      </w:tr>
    </w:tbl>
    <w:p w14:paraId="1FD67283" w14:textId="77777777" w:rsidR="00152D3A" w:rsidRDefault="00152D3A" w:rsidP="00C27FB9">
      <w:pPr>
        <w:spacing w:line="276" w:lineRule="auto"/>
        <w:jc w:val="both"/>
        <w:rPr>
          <w:rFonts w:ascii="Calibri" w:hAnsi="Calibri" w:cs="Arial"/>
        </w:rPr>
      </w:pPr>
    </w:p>
    <w:p w14:paraId="21A54479" w14:textId="77777777" w:rsidR="00152D3A" w:rsidRPr="00592555" w:rsidRDefault="00152D3A" w:rsidP="00C27FB9">
      <w:pPr>
        <w:pStyle w:val="Heading1"/>
        <w:spacing w:line="276" w:lineRule="auto"/>
      </w:pPr>
      <w:r>
        <w:t>Responsibilities</w:t>
      </w:r>
      <w:r>
        <w:tab/>
      </w:r>
      <w:r>
        <w:tab/>
      </w:r>
    </w:p>
    <w:p w14:paraId="25BC4C84" w14:textId="77777777" w:rsidR="00090828" w:rsidRDefault="00090828" w:rsidP="00090828">
      <w:pPr>
        <w:spacing w:line="276" w:lineRule="auto"/>
        <w:jc w:val="both"/>
      </w:pPr>
      <w:r>
        <w:rPr>
          <w:rFonts w:ascii="Calibri" w:hAnsi="Calibri" w:cs="Arial"/>
        </w:rPr>
        <w:t xml:space="preserve">It is the responsibility of the relevant person in the hospital pharmacy department/ACU manager </w:t>
      </w:r>
      <w:r w:rsidRPr="000D4CEE">
        <w:t xml:space="preserve">to ensure all staff are trained in and adhere to this procedure. </w:t>
      </w:r>
    </w:p>
    <w:p w14:paraId="43D01AF3" w14:textId="77777777" w:rsidR="00090828" w:rsidRDefault="00090828" w:rsidP="00090828">
      <w:pPr>
        <w:spacing w:line="276" w:lineRule="auto"/>
        <w:jc w:val="both"/>
        <w:rPr>
          <w:rFonts w:ascii="Calibri" w:hAnsi="Calibri" w:cs="Arial"/>
        </w:rPr>
      </w:pPr>
    </w:p>
    <w:p w14:paraId="21A6C28E" w14:textId="10F7C362" w:rsidR="00090828" w:rsidRDefault="00090828" w:rsidP="00090828">
      <w:pPr>
        <w:spacing w:line="276" w:lineRule="auto"/>
        <w:jc w:val="both"/>
        <w:rPr>
          <w:rFonts w:ascii="Calibri" w:hAnsi="Calibri" w:cs="Arial"/>
        </w:rPr>
      </w:pPr>
      <w:r>
        <w:rPr>
          <w:rFonts w:ascii="Calibri" w:hAnsi="Calibri" w:cs="Arial"/>
        </w:rPr>
        <w:t>It is the responsibility of all staff to comply with this procedure</w:t>
      </w:r>
      <w:r w:rsidR="00AC5D1D">
        <w:rPr>
          <w:rFonts w:ascii="Calibri" w:hAnsi="Calibri" w:cs="Arial"/>
        </w:rPr>
        <w:t>.</w:t>
      </w:r>
    </w:p>
    <w:p w14:paraId="0C0F477E" w14:textId="77777777" w:rsidR="00AC5D1D" w:rsidRDefault="00AC5D1D" w:rsidP="00090828">
      <w:pPr>
        <w:spacing w:line="276" w:lineRule="auto"/>
        <w:jc w:val="both"/>
        <w:rPr>
          <w:rFonts w:ascii="Calibri" w:hAnsi="Calibri" w:cs="Arial"/>
        </w:rPr>
      </w:pPr>
    </w:p>
    <w:p w14:paraId="4E385A47" w14:textId="77777777" w:rsidR="00090828" w:rsidRDefault="00090828" w:rsidP="00090828">
      <w:pPr>
        <w:spacing w:line="276" w:lineRule="auto"/>
        <w:jc w:val="both"/>
        <w:rPr>
          <w:rFonts w:cstheme="minorHAnsi"/>
        </w:rPr>
      </w:pPr>
      <w:r w:rsidRPr="00822D63">
        <w:rPr>
          <w:rFonts w:cstheme="minorHAnsi"/>
        </w:rPr>
        <w:t>External visitors should be instructed in the ACU gowning procedure and the gowni</w:t>
      </w:r>
      <w:r>
        <w:rPr>
          <w:rFonts w:cstheme="minorHAnsi"/>
        </w:rPr>
        <w:t xml:space="preserve">ng </w:t>
      </w:r>
      <w:r w:rsidRPr="00822D63">
        <w:rPr>
          <w:rFonts w:cstheme="minorHAnsi"/>
        </w:rPr>
        <w:t>process should be demonstrated to them.</w:t>
      </w:r>
    </w:p>
    <w:p w14:paraId="62EC3BD8" w14:textId="77777777" w:rsidR="00090828" w:rsidRPr="00822D63" w:rsidRDefault="00090828" w:rsidP="00090828">
      <w:pPr>
        <w:spacing w:line="276" w:lineRule="auto"/>
        <w:jc w:val="both"/>
        <w:rPr>
          <w:rFonts w:cstheme="minorHAnsi"/>
        </w:rPr>
      </w:pPr>
    </w:p>
    <w:p w14:paraId="2E309DAD" w14:textId="1C83C45C" w:rsidR="00832812" w:rsidRPr="00497D1C" w:rsidRDefault="00090828" w:rsidP="00497D1C">
      <w:pPr>
        <w:pStyle w:val="ListParagraph"/>
        <w:numPr>
          <w:ilvl w:val="0"/>
          <w:numId w:val="42"/>
        </w:numPr>
        <w:spacing w:line="276" w:lineRule="auto"/>
        <w:jc w:val="both"/>
        <w:rPr>
          <w:rFonts w:ascii="Calibri" w:hAnsi="Calibri" w:cs="Arial"/>
        </w:rPr>
      </w:pPr>
      <w:r w:rsidRPr="00497D1C">
        <w:rPr>
          <w:rFonts w:cstheme="minorHAnsi"/>
        </w:rPr>
        <w:t xml:space="preserve">It is the responsibility of all staff to notify the ACU manager/Pharmacy manager of any infectious diseases or open lesions on the exposed surface of the body. The </w:t>
      </w:r>
      <w:r w:rsidRPr="00497D1C">
        <w:rPr>
          <w:rFonts w:cstheme="minorHAnsi"/>
        </w:rPr>
        <w:lastRenderedPageBreak/>
        <w:t>ACU manager/Pharmacy manager will decide on the fitness of the staff member to carry out activities in the preparation area or clean room and the specific protective measures that should be taken to avoid contamination of the product. If not adequate protection is possible, the person should not be allowed to be involved in preparation or compounding activities.</w:t>
      </w:r>
      <w:r w:rsidR="00832812" w:rsidRPr="00497D1C">
        <w:rPr>
          <w:rFonts w:ascii="Calibri" w:hAnsi="Calibri" w:cs="Arial"/>
        </w:rPr>
        <w:t xml:space="preserve"> </w:t>
      </w:r>
    </w:p>
    <w:p w14:paraId="6A59CF18" w14:textId="55D02BE4" w:rsidR="00832812" w:rsidRPr="00E012BA" w:rsidRDefault="00832812" w:rsidP="00832812">
      <w:pPr>
        <w:pStyle w:val="ListParagraph"/>
        <w:numPr>
          <w:ilvl w:val="0"/>
          <w:numId w:val="42"/>
        </w:numPr>
        <w:spacing w:line="276" w:lineRule="auto"/>
        <w:jc w:val="both"/>
        <w:rPr>
          <w:rFonts w:ascii="Calibri" w:hAnsi="Calibri" w:cs="Arial"/>
        </w:rPr>
      </w:pPr>
      <w:r w:rsidRPr="00E012BA">
        <w:rPr>
          <w:rFonts w:ascii="Calibri" w:hAnsi="Calibri" w:cs="Arial"/>
        </w:rPr>
        <w:t>It is the responsibility of the ACU/Pharmacy Manager to ensure that a spill kit is always adequately stocked and in date.</w:t>
      </w:r>
    </w:p>
    <w:p w14:paraId="1BC0B672" w14:textId="35020780" w:rsidR="00090828" w:rsidRPr="006F18B3" w:rsidRDefault="00090828" w:rsidP="00090828">
      <w:pPr>
        <w:spacing w:line="276" w:lineRule="auto"/>
        <w:jc w:val="both"/>
      </w:pPr>
    </w:p>
    <w:p w14:paraId="684CD63A" w14:textId="77777777" w:rsidR="00152D3A" w:rsidRPr="00592555" w:rsidRDefault="00152D3A" w:rsidP="00C27FB9">
      <w:pPr>
        <w:pStyle w:val="Heading1"/>
        <w:spacing w:line="276" w:lineRule="auto"/>
      </w:pPr>
      <w:r>
        <w:t>Procedure</w:t>
      </w:r>
      <w:r>
        <w:tab/>
      </w:r>
      <w:r>
        <w:tab/>
      </w:r>
    </w:p>
    <w:p w14:paraId="18CBA0E2" w14:textId="6C34F47E" w:rsidR="00832812" w:rsidRPr="00832812" w:rsidRDefault="00893EBA" w:rsidP="00832812">
      <w:pPr>
        <w:pStyle w:val="ListParagraph"/>
        <w:spacing w:line="276" w:lineRule="auto"/>
        <w:jc w:val="both"/>
        <w:rPr>
          <w:rFonts w:ascii="Calibri" w:hAnsi="Calibri" w:cs="Arial"/>
        </w:rPr>
      </w:pPr>
      <w:r>
        <w:rPr>
          <w:rFonts w:ascii="Calibri" w:hAnsi="Calibri" w:cs="Arial"/>
        </w:rPr>
        <w:t xml:space="preserve">The </w:t>
      </w:r>
      <w:r w:rsidR="009C07BC" w:rsidRPr="00E012BA">
        <w:rPr>
          <w:rFonts w:ascii="Calibri" w:hAnsi="Calibri" w:cs="Arial"/>
        </w:rPr>
        <w:t>HSE Guideline on the Safe Handling of Cytotoxic Drugs</w:t>
      </w:r>
      <w:r w:rsidR="00497D1C">
        <w:rPr>
          <w:rFonts w:ascii="Calibri" w:hAnsi="Calibri" w:cs="Arial"/>
        </w:rPr>
        <w:t xml:space="preserve"> (2021)</w:t>
      </w:r>
      <w:r w:rsidR="009C07BC" w:rsidRPr="00E012BA">
        <w:rPr>
          <w:rFonts w:ascii="Calibri" w:hAnsi="Calibri" w:cs="Arial"/>
        </w:rPr>
        <w:t xml:space="preserve"> collectively group SACT drugs as CMRs, i.e. carcinogenic, mutagenic, or toxic for reproduction and advise that all SACT should be handled in the same manner.</w:t>
      </w:r>
    </w:p>
    <w:p w14:paraId="458132B2" w14:textId="05AA42F3" w:rsidR="00312DBC" w:rsidRPr="00E012BA" w:rsidRDefault="00832812" w:rsidP="00E012BA">
      <w:pPr>
        <w:pStyle w:val="ListParagraph"/>
        <w:numPr>
          <w:ilvl w:val="0"/>
          <w:numId w:val="42"/>
        </w:numPr>
        <w:spacing w:line="276" w:lineRule="auto"/>
        <w:jc w:val="both"/>
        <w:rPr>
          <w:rFonts w:ascii="Calibri" w:hAnsi="Calibri" w:cs="Arial"/>
        </w:rPr>
      </w:pPr>
      <w:r>
        <w:rPr>
          <w:rFonts w:ascii="Calibri" w:hAnsi="Calibri" w:cs="Arial"/>
        </w:rPr>
        <w:t>Ensure that a</w:t>
      </w:r>
      <w:r w:rsidR="00090828" w:rsidRPr="00E012BA">
        <w:rPr>
          <w:rFonts w:ascii="Calibri" w:hAnsi="Calibri" w:cs="Arial"/>
        </w:rPr>
        <w:t>ll areas where SACT drugs are present have a</w:t>
      </w:r>
      <w:r>
        <w:rPr>
          <w:rFonts w:ascii="Calibri" w:hAnsi="Calibri" w:cs="Arial"/>
        </w:rPr>
        <w:t xml:space="preserve">n accessible </w:t>
      </w:r>
      <w:r w:rsidR="00090828" w:rsidRPr="00E012BA">
        <w:rPr>
          <w:rFonts w:ascii="Calibri" w:hAnsi="Calibri" w:cs="Arial"/>
        </w:rPr>
        <w:t xml:space="preserve">spill kit </w:t>
      </w:r>
      <w:r>
        <w:rPr>
          <w:rFonts w:ascii="Calibri" w:hAnsi="Calibri" w:cs="Arial"/>
        </w:rPr>
        <w:t>to deal with</w:t>
      </w:r>
      <w:r w:rsidR="00090828" w:rsidRPr="00E012BA">
        <w:rPr>
          <w:rFonts w:ascii="Calibri" w:hAnsi="Calibri" w:cs="Arial"/>
        </w:rPr>
        <w:t xml:space="preserve"> a</w:t>
      </w:r>
      <w:r>
        <w:rPr>
          <w:rFonts w:ascii="Calibri" w:hAnsi="Calibri" w:cs="Arial"/>
        </w:rPr>
        <w:t>ny</w:t>
      </w:r>
      <w:r w:rsidR="00090828" w:rsidRPr="00E012BA">
        <w:rPr>
          <w:rFonts w:ascii="Calibri" w:hAnsi="Calibri" w:cs="Arial"/>
        </w:rPr>
        <w:t xml:space="preserve"> SACT spillage. </w:t>
      </w:r>
    </w:p>
    <w:p w14:paraId="4747F057" w14:textId="0AB5D826" w:rsidR="002A1498" w:rsidRPr="00E012BA" w:rsidRDefault="002A1498" w:rsidP="00E012BA">
      <w:pPr>
        <w:pStyle w:val="ListParagraph"/>
        <w:numPr>
          <w:ilvl w:val="0"/>
          <w:numId w:val="42"/>
        </w:numPr>
        <w:spacing w:line="276" w:lineRule="auto"/>
        <w:jc w:val="both"/>
        <w:rPr>
          <w:rFonts w:ascii="Calibri" w:hAnsi="Calibri" w:cs="Arial"/>
        </w:rPr>
      </w:pPr>
      <w:r w:rsidRPr="00E012BA">
        <w:rPr>
          <w:rFonts w:ascii="Calibri" w:hAnsi="Calibri" w:cs="Arial"/>
        </w:rPr>
        <w:t xml:space="preserve">All SACT spillages should immediately be dealt with </w:t>
      </w:r>
      <w:r w:rsidR="00832812">
        <w:rPr>
          <w:rFonts w:ascii="Calibri" w:hAnsi="Calibri" w:cs="Arial"/>
        </w:rPr>
        <w:t xml:space="preserve">as outlined below. This should be carried out </w:t>
      </w:r>
      <w:r w:rsidRPr="00E012BA">
        <w:rPr>
          <w:rFonts w:ascii="Calibri" w:hAnsi="Calibri" w:cs="Arial"/>
        </w:rPr>
        <w:t xml:space="preserve">by a trained member of staff with the assistance of another </w:t>
      </w:r>
      <w:r w:rsidR="00832812">
        <w:rPr>
          <w:rFonts w:ascii="Calibri" w:hAnsi="Calibri" w:cs="Arial"/>
        </w:rPr>
        <w:t xml:space="preserve">trained </w:t>
      </w:r>
      <w:r w:rsidRPr="00E012BA">
        <w:rPr>
          <w:rFonts w:ascii="Calibri" w:hAnsi="Calibri" w:cs="Arial"/>
        </w:rPr>
        <w:t>coll</w:t>
      </w:r>
      <w:r w:rsidR="00312DBC" w:rsidRPr="00E012BA">
        <w:rPr>
          <w:rFonts w:ascii="Calibri" w:hAnsi="Calibri" w:cs="Arial"/>
        </w:rPr>
        <w:t>eague.</w:t>
      </w:r>
    </w:p>
    <w:p w14:paraId="518924E9" w14:textId="77777777" w:rsidR="00832812" w:rsidRPr="00E012BA" w:rsidRDefault="00832812" w:rsidP="00832812">
      <w:pPr>
        <w:pStyle w:val="ListParagraph"/>
        <w:numPr>
          <w:ilvl w:val="0"/>
          <w:numId w:val="42"/>
        </w:numPr>
        <w:spacing w:line="276" w:lineRule="auto"/>
        <w:jc w:val="both"/>
        <w:rPr>
          <w:rFonts w:ascii="Calibri" w:hAnsi="Calibri" w:cs="Arial"/>
        </w:rPr>
      </w:pPr>
      <w:r w:rsidRPr="00E012BA">
        <w:rPr>
          <w:rFonts w:ascii="Calibri" w:hAnsi="Calibri" w:cs="Arial"/>
        </w:rPr>
        <w:t>Priority should be given to personnel contamination (staff or patient) and referred to occupational health where necessary as per local policy.</w:t>
      </w:r>
    </w:p>
    <w:p w14:paraId="5AE17B22" w14:textId="77777777" w:rsidR="00832812" w:rsidRPr="0083409F" w:rsidRDefault="00832812" w:rsidP="00832812">
      <w:pPr>
        <w:pStyle w:val="ListParagraph"/>
        <w:numPr>
          <w:ilvl w:val="0"/>
          <w:numId w:val="42"/>
        </w:numPr>
        <w:spacing w:line="276" w:lineRule="auto"/>
        <w:jc w:val="both"/>
        <w:rPr>
          <w:rFonts w:ascii="Calibri" w:hAnsi="Calibri" w:cs="Arial"/>
        </w:rPr>
      </w:pPr>
      <w:r w:rsidRPr="0083409F">
        <w:rPr>
          <w:rFonts w:ascii="Calibri" w:hAnsi="Calibri" w:cs="Arial"/>
        </w:rPr>
        <w:t>Domestic staff should not be requested to clean up a SACT spillage.</w:t>
      </w:r>
    </w:p>
    <w:p w14:paraId="173DAF94" w14:textId="77777777" w:rsidR="00832812" w:rsidRPr="0083409F" w:rsidRDefault="00832812" w:rsidP="00832812">
      <w:pPr>
        <w:pStyle w:val="ListParagraph"/>
        <w:numPr>
          <w:ilvl w:val="0"/>
          <w:numId w:val="42"/>
        </w:numPr>
        <w:spacing w:line="276" w:lineRule="auto"/>
        <w:jc w:val="both"/>
        <w:rPr>
          <w:rFonts w:ascii="Calibri" w:hAnsi="Calibri" w:cs="Arial"/>
        </w:rPr>
      </w:pPr>
      <w:r w:rsidRPr="0083409F">
        <w:rPr>
          <w:rFonts w:ascii="Calibri" w:hAnsi="Calibri" w:cs="Arial"/>
        </w:rPr>
        <w:t xml:space="preserve">Pregnant staff should not be involved in cleaning a SACT spillage. </w:t>
      </w:r>
    </w:p>
    <w:p w14:paraId="7EF86EDD" w14:textId="77777777" w:rsidR="00832812" w:rsidRPr="00E012BA" w:rsidRDefault="00832812" w:rsidP="00832812">
      <w:pPr>
        <w:pStyle w:val="ListParagraph"/>
        <w:numPr>
          <w:ilvl w:val="0"/>
          <w:numId w:val="42"/>
        </w:numPr>
        <w:spacing w:line="276" w:lineRule="auto"/>
        <w:jc w:val="both"/>
        <w:rPr>
          <w:rFonts w:ascii="Calibri" w:hAnsi="Calibri" w:cs="Arial"/>
        </w:rPr>
      </w:pPr>
      <w:r w:rsidRPr="00E012BA">
        <w:rPr>
          <w:rFonts w:ascii="Calibri" w:hAnsi="Calibri" w:cs="Arial"/>
        </w:rPr>
        <w:t>Once a spill kit has been used a replacement kit should be obtained as soon as possible as per local policy.</w:t>
      </w:r>
    </w:p>
    <w:p w14:paraId="02CDD222" w14:textId="3F97AC8F" w:rsidR="00003766" w:rsidRPr="00E012BA" w:rsidRDefault="00312DBC" w:rsidP="00E012BA">
      <w:pPr>
        <w:pStyle w:val="ListParagraph"/>
        <w:numPr>
          <w:ilvl w:val="0"/>
          <w:numId w:val="42"/>
        </w:numPr>
        <w:spacing w:line="276" w:lineRule="auto"/>
        <w:jc w:val="both"/>
        <w:rPr>
          <w:rFonts w:ascii="Calibri" w:hAnsi="Calibri" w:cs="Arial"/>
        </w:rPr>
      </w:pPr>
      <w:r w:rsidRPr="00E012BA">
        <w:rPr>
          <w:rFonts w:ascii="Calibri" w:hAnsi="Calibri" w:cs="Arial"/>
        </w:rPr>
        <w:t>All SACT spillages should be reported</w:t>
      </w:r>
      <w:r w:rsidR="00003766" w:rsidRPr="00E012BA">
        <w:rPr>
          <w:rFonts w:ascii="Calibri" w:hAnsi="Calibri" w:cs="Arial"/>
        </w:rPr>
        <w:t xml:space="preserve"> as a medicines safety incident </w:t>
      </w:r>
      <w:r w:rsidR="00832812">
        <w:rPr>
          <w:rFonts w:ascii="Calibri" w:hAnsi="Calibri" w:cs="Arial"/>
        </w:rPr>
        <w:t xml:space="preserve">in line with local reporting processes </w:t>
      </w:r>
      <w:r w:rsidR="00003766" w:rsidRPr="00E012BA">
        <w:rPr>
          <w:rFonts w:ascii="Calibri" w:hAnsi="Calibri" w:cs="Arial"/>
        </w:rPr>
        <w:t>and the following should be consider</w:t>
      </w:r>
      <w:r w:rsidR="0083409F">
        <w:rPr>
          <w:rFonts w:ascii="Calibri" w:hAnsi="Calibri" w:cs="Arial"/>
        </w:rPr>
        <w:t>ed</w:t>
      </w:r>
      <w:r w:rsidR="00003766" w:rsidRPr="00E012BA">
        <w:rPr>
          <w:rFonts w:ascii="Calibri" w:hAnsi="Calibri" w:cs="Arial"/>
        </w:rPr>
        <w:t xml:space="preserve"> for inclusion in the report:</w:t>
      </w:r>
    </w:p>
    <w:p w14:paraId="2AFDA054" w14:textId="75E58FE2" w:rsidR="00003766" w:rsidRPr="00003766" w:rsidRDefault="00003766" w:rsidP="00003766">
      <w:pPr>
        <w:pStyle w:val="ListParagraph"/>
        <w:numPr>
          <w:ilvl w:val="0"/>
          <w:numId w:val="40"/>
        </w:numPr>
        <w:spacing w:line="276" w:lineRule="auto"/>
        <w:jc w:val="both"/>
        <w:rPr>
          <w:rFonts w:ascii="Calibri" w:hAnsi="Calibri" w:cs="Arial"/>
        </w:rPr>
      </w:pPr>
      <w:r w:rsidRPr="00003766">
        <w:rPr>
          <w:rFonts w:ascii="Calibri" w:hAnsi="Calibri" w:cs="Arial"/>
        </w:rPr>
        <w:t>Nature and location of the spillage.</w:t>
      </w:r>
    </w:p>
    <w:p w14:paraId="5EFC84AA" w14:textId="3F42A000" w:rsidR="00003766" w:rsidRPr="00003766" w:rsidRDefault="00003766" w:rsidP="00003766">
      <w:pPr>
        <w:pStyle w:val="ListParagraph"/>
        <w:numPr>
          <w:ilvl w:val="0"/>
          <w:numId w:val="40"/>
        </w:numPr>
        <w:spacing w:line="276" w:lineRule="auto"/>
        <w:jc w:val="both"/>
        <w:rPr>
          <w:rFonts w:ascii="Calibri" w:hAnsi="Calibri" w:cs="Arial"/>
        </w:rPr>
      </w:pPr>
      <w:r w:rsidRPr="00003766">
        <w:rPr>
          <w:rFonts w:ascii="Calibri" w:hAnsi="Calibri" w:cs="Arial"/>
        </w:rPr>
        <w:t>Staff involved in the spillage and mopping up procedure.</w:t>
      </w:r>
    </w:p>
    <w:p w14:paraId="187A58E8" w14:textId="2727D4EB" w:rsidR="00003766" w:rsidRPr="00003766" w:rsidRDefault="00003766" w:rsidP="00003766">
      <w:pPr>
        <w:pStyle w:val="ListParagraph"/>
        <w:numPr>
          <w:ilvl w:val="0"/>
          <w:numId w:val="40"/>
        </w:numPr>
        <w:spacing w:line="276" w:lineRule="auto"/>
        <w:jc w:val="both"/>
        <w:rPr>
          <w:rFonts w:ascii="Calibri" w:hAnsi="Calibri" w:cs="Arial"/>
        </w:rPr>
      </w:pPr>
      <w:r w:rsidRPr="00003766">
        <w:rPr>
          <w:rFonts w:ascii="Calibri" w:hAnsi="Calibri" w:cs="Arial"/>
        </w:rPr>
        <w:t>Drug involved and extent of contamination.</w:t>
      </w:r>
    </w:p>
    <w:p w14:paraId="28B18C62" w14:textId="08D308CB" w:rsidR="00003766" w:rsidRPr="00003766" w:rsidRDefault="00003766" w:rsidP="00003766">
      <w:pPr>
        <w:pStyle w:val="ListParagraph"/>
        <w:numPr>
          <w:ilvl w:val="0"/>
          <w:numId w:val="40"/>
        </w:numPr>
        <w:spacing w:line="276" w:lineRule="auto"/>
        <w:jc w:val="both"/>
        <w:rPr>
          <w:rFonts w:ascii="Calibri" w:hAnsi="Calibri" w:cs="Arial"/>
        </w:rPr>
      </w:pPr>
      <w:r w:rsidRPr="00003766">
        <w:rPr>
          <w:rFonts w:ascii="Calibri" w:hAnsi="Calibri" w:cs="Arial"/>
        </w:rPr>
        <w:t>Actions taken.</w:t>
      </w:r>
    </w:p>
    <w:p w14:paraId="74FB1A4D" w14:textId="34207746" w:rsidR="00003766" w:rsidRPr="00003766" w:rsidRDefault="00003766" w:rsidP="00003766">
      <w:pPr>
        <w:pStyle w:val="ListParagraph"/>
        <w:numPr>
          <w:ilvl w:val="0"/>
          <w:numId w:val="40"/>
        </w:numPr>
        <w:spacing w:line="276" w:lineRule="auto"/>
        <w:jc w:val="both"/>
        <w:rPr>
          <w:rFonts w:ascii="Calibri" w:hAnsi="Calibri" w:cs="Arial"/>
        </w:rPr>
      </w:pPr>
      <w:r w:rsidRPr="00003766">
        <w:rPr>
          <w:rFonts w:ascii="Calibri" w:hAnsi="Calibri" w:cs="Arial"/>
        </w:rPr>
        <w:t>Any direct skin or eye contact.</w:t>
      </w:r>
      <w:r w:rsidRPr="00003766">
        <w:rPr>
          <w:rFonts w:ascii="Calibri" w:hAnsi="Calibri" w:cs="Arial"/>
        </w:rPr>
        <w:cr/>
      </w:r>
    </w:p>
    <w:p w14:paraId="6AED9BA6" w14:textId="77777777" w:rsidR="002A1498" w:rsidRDefault="002A1498" w:rsidP="00C27FB9">
      <w:pPr>
        <w:spacing w:line="276" w:lineRule="auto"/>
        <w:jc w:val="both"/>
        <w:rPr>
          <w:rFonts w:ascii="Calibri" w:hAnsi="Calibri" w:cs="Arial"/>
        </w:rPr>
      </w:pPr>
    </w:p>
    <w:p w14:paraId="4E2DFC81" w14:textId="5D85C6A2" w:rsidR="00662D6D" w:rsidRDefault="00494E47" w:rsidP="00C27FB9">
      <w:pPr>
        <w:pStyle w:val="Heading2"/>
        <w:spacing w:line="276" w:lineRule="auto"/>
      </w:pPr>
      <w:r>
        <w:lastRenderedPageBreak/>
        <w:t xml:space="preserve">Management of a </w:t>
      </w:r>
      <w:r w:rsidR="00ED15D5">
        <w:t xml:space="preserve">liquid </w:t>
      </w:r>
      <w:r>
        <w:t>spillage</w:t>
      </w:r>
      <w:r w:rsidR="00662D6D">
        <w:t>:</w:t>
      </w:r>
    </w:p>
    <w:p w14:paraId="73B2BC33" w14:textId="708DD483" w:rsidR="004002CC" w:rsidRDefault="004002CC" w:rsidP="00C27FB9">
      <w:pPr>
        <w:pStyle w:val="ListParagraph"/>
        <w:numPr>
          <w:ilvl w:val="0"/>
          <w:numId w:val="34"/>
        </w:numPr>
        <w:spacing w:line="276" w:lineRule="auto"/>
        <w:jc w:val="both"/>
        <w:rPr>
          <w:rFonts w:ascii="Calibri" w:hAnsi="Calibri" w:cs="Arial"/>
        </w:rPr>
      </w:pPr>
      <w:r>
        <w:rPr>
          <w:rFonts w:ascii="Calibri" w:hAnsi="Calibri" w:cs="Arial"/>
        </w:rPr>
        <w:t>All staff in the vicinity should be made aware of the spillage and evacuated</w:t>
      </w:r>
      <w:r w:rsidR="008546EB">
        <w:rPr>
          <w:rFonts w:ascii="Calibri" w:hAnsi="Calibri" w:cs="Arial"/>
        </w:rPr>
        <w:t xml:space="preserve"> where appropriate</w:t>
      </w:r>
      <w:r>
        <w:rPr>
          <w:rFonts w:ascii="Calibri" w:hAnsi="Calibri" w:cs="Arial"/>
        </w:rPr>
        <w:t xml:space="preserve">. A </w:t>
      </w:r>
      <w:r w:rsidR="00832812">
        <w:rPr>
          <w:rFonts w:ascii="Calibri" w:hAnsi="Calibri" w:cs="Arial"/>
        </w:rPr>
        <w:t xml:space="preserve">trained </w:t>
      </w:r>
      <w:r>
        <w:rPr>
          <w:rFonts w:ascii="Calibri" w:hAnsi="Calibri" w:cs="Arial"/>
        </w:rPr>
        <w:t>staff member should be appointed</w:t>
      </w:r>
      <w:r w:rsidR="00ED15D5">
        <w:rPr>
          <w:rFonts w:ascii="Calibri" w:hAnsi="Calibri" w:cs="Arial"/>
        </w:rPr>
        <w:t xml:space="preserve"> to assist the clean-up and not</w:t>
      </w:r>
      <w:r>
        <w:rPr>
          <w:rFonts w:ascii="Calibri" w:hAnsi="Calibri" w:cs="Arial"/>
        </w:rPr>
        <w:t xml:space="preserve"> leave the spillage unattended</w:t>
      </w:r>
    </w:p>
    <w:p w14:paraId="72262327" w14:textId="77777777" w:rsidR="00832812" w:rsidRDefault="00832812" w:rsidP="00832812">
      <w:pPr>
        <w:pStyle w:val="ListParagraph"/>
        <w:numPr>
          <w:ilvl w:val="0"/>
          <w:numId w:val="34"/>
        </w:numPr>
        <w:spacing w:line="276" w:lineRule="auto"/>
        <w:jc w:val="both"/>
        <w:rPr>
          <w:rFonts w:ascii="Calibri" w:hAnsi="Calibri" w:cs="Arial"/>
        </w:rPr>
      </w:pPr>
      <w:r>
        <w:rPr>
          <w:rFonts w:ascii="Calibri" w:hAnsi="Calibri" w:cs="Arial"/>
        </w:rPr>
        <w:t>A SACT spillage kit should be retrieved</w:t>
      </w:r>
    </w:p>
    <w:p w14:paraId="3C1F71A0" w14:textId="77777777" w:rsidR="00832812" w:rsidRDefault="00832812" w:rsidP="00832812">
      <w:pPr>
        <w:pStyle w:val="ListParagraph"/>
        <w:numPr>
          <w:ilvl w:val="0"/>
          <w:numId w:val="34"/>
        </w:numPr>
        <w:spacing w:line="276" w:lineRule="auto"/>
        <w:jc w:val="both"/>
        <w:rPr>
          <w:rFonts w:ascii="Calibri" w:hAnsi="Calibri" w:cs="Arial"/>
        </w:rPr>
      </w:pPr>
      <w:r>
        <w:rPr>
          <w:rFonts w:ascii="Calibri" w:hAnsi="Calibri" w:cs="Arial"/>
        </w:rPr>
        <w:t xml:space="preserve">The spillage sign should be placed in a clearly visible position </w:t>
      </w:r>
    </w:p>
    <w:p w14:paraId="1D56D4AE" w14:textId="77777777" w:rsidR="00832812" w:rsidRDefault="00832812" w:rsidP="00832812">
      <w:pPr>
        <w:pStyle w:val="ListParagraph"/>
        <w:numPr>
          <w:ilvl w:val="0"/>
          <w:numId w:val="34"/>
        </w:numPr>
        <w:spacing w:line="276" w:lineRule="auto"/>
        <w:jc w:val="both"/>
        <w:rPr>
          <w:rFonts w:ascii="Calibri" w:hAnsi="Calibri" w:cs="Arial"/>
        </w:rPr>
      </w:pPr>
      <w:r>
        <w:rPr>
          <w:rFonts w:ascii="Calibri" w:hAnsi="Calibri" w:cs="Arial"/>
        </w:rPr>
        <w:t>Relevant PPE stored in the spillage kit should be donned before managing the spillage such as gloves (2 pairs), goggles, face mask, gown, overshoes and apron (See appendix 1)</w:t>
      </w:r>
    </w:p>
    <w:p w14:paraId="2729CA9D" w14:textId="77777777" w:rsidR="00832812" w:rsidRDefault="00832812" w:rsidP="00832812">
      <w:pPr>
        <w:pStyle w:val="ListParagraph"/>
        <w:numPr>
          <w:ilvl w:val="0"/>
          <w:numId w:val="34"/>
        </w:numPr>
        <w:spacing w:line="276" w:lineRule="auto"/>
        <w:jc w:val="both"/>
        <w:rPr>
          <w:rFonts w:ascii="Calibri" w:hAnsi="Calibri" w:cs="Arial"/>
        </w:rPr>
      </w:pPr>
      <w:r>
        <w:rPr>
          <w:rFonts w:ascii="Calibri" w:hAnsi="Calibri" w:cs="Arial"/>
        </w:rPr>
        <w:t>The process of clean up should follow the order of area of least contamination to area of greatest contamination. Absorbent paper towels/pads in the kit should be placed over the spillage and the majority of the liquid absorbed. These wipes should then be placed in the waste bag supplied in the spill kit while ensuring not to create splashes.</w:t>
      </w:r>
    </w:p>
    <w:p w14:paraId="094EB3BE" w14:textId="77777777" w:rsidR="00832812" w:rsidRDefault="00832812" w:rsidP="00832812">
      <w:pPr>
        <w:pStyle w:val="ListParagraph"/>
        <w:numPr>
          <w:ilvl w:val="0"/>
          <w:numId w:val="34"/>
        </w:numPr>
        <w:spacing w:line="276" w:lineRule="auto"/>
        <w:jc w:val="both"/>
        <w:rPr>
          <w:rFonts w:ascii="Calibri" w:hAnsi="Calibri" w:cs="Arial"/>
        </w:rPr>
      </w:pPr>
      <w:r>
        <w:rPr>
          <w:rFonts w:ascii="Calibri" w:hAnsi="Calibri" w:cs="Arial"/>
        </w:rPr>
        <w:t xml:space="preserve">The cytotoxic container (infusion bag/syringe/broken vial/ampoule) should be placed into a yellow bag then sealed and placed in the cytotoxic sharps bin </w:t>
      </w:r>
    </w:p>
    <w:p w14:paraId="2B52372C" w14:textId="77777777" w:rsidR="00832812" w:rsidRDefault="00832812" w:rsidP="00832812">
      <w:pPr>
        <w:pStyle w:val="ListParagraph"/>
        <w:numPr>
          <w:ilvl w:val="0"/>
          <w:numId w:val="34"/>
        </w:numPr>
        <w:spacing w:line="276" w:lineRule="auto"/>
        <w:jc w:val="both"/>
        <w:rPr>
          <w:rFonts w:ascii="Calibri" w:hAnsi="Calibri" w:cs="Arial"/>
        </w:rPr>
      </w:pPr>
      <w:r>
        <w:rPr>
          <w:rFonts w:ascii="Calibri" w:hAnsi="Calibri" w:cs="Arial"/>
        </w:rPr>
        <w:t>Broken vials or ampoules should be cleaned up using the scoop and paper towels supplied and then placed into the cytotoxic sharps bin.</w:t>
      </w:r>
    </w:p>
    <w:p w14:paraId="0C1B60D7" w14:textId="77777777" w:rsidR="00832812" w:rsidRPr="00187DEF" w:rsidRDefault="00832812" w:rsidP="00832812">
      <w:pPr>
        <w:pStyle w:val="ListParagraph"/>
        <w:numPr>
          <w:ilvl w:val="0"/>
          <w:numId w:val="34"/>
        </w:numPr>
        <w:spacing w:line="276" w:lineRule="auto"/>
        <w:jc w:val="both"/>
        <w:rPr>
          <w:rFonts w:ascii="Calibri" w:hAnsi="Calibri" w:cs="Arial"/>
        </w:rPr>
      </w:pPr>
      <w:r w:rsidRPr="00187DEF">
        <w:rPr>
          <w:rFonts w:ascii="Calibri" w:hAnsi="Calibri" w:cs="Arial"/>
        </w:rPr>
        <w:t xml:space="preserve">All areas should be cleaned with copious amounts of </w:t>
      </w:r>
      <w:r>
        <w:rPr>
          <w:rFonts w:ascii="Calibri" w:hAnsi="Calibri" w:cs="Arial"/>
        </w:rPr>
        <w:t xml:space="preserve">bottled </w:t>
      </w:r>
      <w:r w:rsidRPr="00187DEF">
        <w:rPr>
          <w:rFonts w:ascii="Calibri" w:hAnsi="Calibri" w:cs="Arial"/>
        </w:rPr>
        <w:t>water and dried with paper to</w:t>
      </w:r>
      <w:r>
        <w:rPr>
          <w:rFonts w:ascii="Calibri" w:hAnsi="Calibri" w:cs="Arial"/>
        </w:rPr>
        <w:t>wels s</w:t>
      </w:r>
      <w:r w:rsidRPr="00187DEF">
        <w:rPr>
          <w:rFonts w:ascii="Calibri" w:hAnsi="Calibri" w:cs="Arial"/>
        </w:rPr>
        <w:t>upplied</w:t>
      </w:r>
      <w:r>
        <w:rPr>
          <w:rFonts w:ascii="Calibri" w:hAnsi="Calibri" w:cs="Arial"/>
        </w:rPr>
        <w:t xml:space="preserve"> and disposed of and sealed in the cytotoxic waste bag.</w:t>
      </w:r>
    </w:p>
    <w:p w14:paraId="678F02AE" w14:textId="77777777" w:rsidR="009C07BC" w:rsidRDefault="009C07BC" w:rsidP="009C07BC">
      <w:pPr>
        <w:pStyle w:val="ListParagraph"/>
        <w:numPr>
          <w:ilvl w:val="0"/>
          <w:numId w:val="34"/>
        </w:numPr>
        <w:spacing w:line="276" w:lineRule="auto"/>
      </w:pPr>
      <w:r>
        <w:t>The ACU team lead/manager should be notified about the spillage and one person should be responsible for managing the spillage</w:t>
      </w:r>
    </w:p>
    <w:p w14:paraId="68C308A6" w14:textId="5BE08B28" w:rsidR="008546EB" w:rsidRDefault="00F01E44" w:rsidP="00C27FB9">
      <w:pPr>
        <w:pStyle w:val="ListParagraph"/>
        <w:numPr>
          <w:ilvl w:val="0"/>
          <w:numId w:val="34"/>
        </w:numPr>
        <w:spacing w:line="276" w:lineRule="auto"/>
        <w:jc w:val="both"/>
        <w:rPr>
          <w:rFonts w:ascii="Calibri" w:hAnsi="Calibri" w:cs="Arial"/>
        </w:rPr>
      </w:pPr>
      <w:r>
        <w:rPr>
          <w:rFonts w:ascii="Calibri" w:hAnsi="Calibri" w:cs="Arial"/>
        </w:rPr>
        <w:t>R</w:t>
      </w:r>
      <w:r w:rsidR="008546EB">
        <w:rPr>
          <w:rFonts w:ascii="Calibri" w:hAnsi="Calibri" w:cs="Arial"/>
        </w:rPr>
        <w:t>elevant wards</w:t>
      </w:r>
      <w:r>
        <w:rPr>
          <w:rFonts w:ascii="Calibri" w:hAnsi="Calibri" w:cs="Arial"/>
        </w:rPr>
        <w:t xml:space="preserve"> should be notified</w:t>
      </w:r>
      <w:r w:rsidR="008546EB">
        <w:rPr>
          <w:rFonts w:ascii="Calibri" w:hAnsi="Calibri" w:cs="Arial"/>
        </w:rPr>
        <w:t xml:space="preserve"> that there may be a delay</w:t>
      </w:r>
      <w:r>
        <w:rPr>
          <w:rFonts w:ascii="Calibri" w:hAnsi="Calibri" w:cs="Arial"/>
        </w:rPr>
        <w:t xml:space="preserve"> in the delivery of SACT</w:t>
      </w:r>
    </w:p>
    <w:p w14:paraId="6A489BD3" w14:textId="19AEE63D" w:rsidR="00662D6D" w:rsidRDefault="00662D6D" w:rsidP="00C27FB9">
      <w:pPr>
        <w:spacing w:line="276" w:lineRule="auto"/>
        <w:jc w:val="both"/>
        <w:rPr>
          <w:rFonts w:ascii="Calibri" w:hAnsi="Calibri" w:cs="Arial"/>
        </w:rPr>
      </w:pPr>
    </w:p>
    <w:p w14:paraId="1C6C36CA" w14:textId="61F5222E" w:rsidR="00ED15D5" w:rsidRDefault="00ED15D5" w:rsidP="00ED15D5">
      <w:pPr>
        <w:pStyle w:val="Heading2"/>
        <w:spacing w:line="276" w:lineRule="auto"/>
      </w:pPr>
      <w:r>
        <w:t>Management of a powder spillage:</w:t>
      </w:r>
    </w:p>
    <w:p w14:paraId="775153CD" w14:textId="77777777" w:rsidR="00A15D05" w:rsidRDefault="00A15D05" w:rsidP="00A15D05">
      <w:pPr>
        <w:pStyle w:val="ListParagraph"/>
        <w:numPr>
          <w:ilvl w:val="0"/>
          <w:numId w:val="34"/>
        </w:numPr>
        <w:spacing w:line="276" w:lineRule="auto"/>
        <w:jc w:val="both"/>
        <w:rPr>
          <w:rFonts w:ascii="Calibri" w:hAnsi="Calibri" w:cs="Arial"/>
        </w:rPr>
      </w:pPr>
      <w:r>
        <w:rPr>
          <w:rFonts w:ascii="Calibri" w:hAnsi="Calibri" w:cs="Arial"/>
        </w:rPr>
        <w:t>All staff in the vicinity should be made aware of the spillage and evacuated where appropriate. A staff member should be appointed to assist the clean-up and not leave the spillage unattended</w:t>
      </w:r>
    </w:p>
    <w:p w14:paraId="097C668A" w14:textId="1DB7E279" w:rsidR="009C07BC" w:rsidRPr="007C3673" w:rsidRDefault="007C3673" w:rsidP="007C3673">
      <w:pPr>
        <w:pStyle w:val="ListParagraph"/>
        <w:numPr>
          <w:ilvl w:val="0"/>
          <w:numId w:val="35"/>
        </w:numPr>
        <w:spacing w:line="276" w:lineRule="auto"/>
      </w:pPr>
      <w:r>
        <w:t xml:space="preserve">The ACU team lead/manager should be notified about the spillage and one </w:t>
      </w:r>
      <w:r w:rsidR="00003766">
        <w:t>p</w:t>
      </w:r>
      <w:r>
        <w:t>erson should be responsible for managing the spillage</w:t>
      </w:r>
    </w:p>
    <w:p w14:paraId="04766A4B" w14:textId="77777777" w:rsidR="009C07BC" w:rsidRDefault="009C07BC" w:rsidP="009C07BC">
      <w:pPr>
        <w:pStyle w:val="ListParagraph"/>
        <w:numPr>
          <w:ilvl w:val="0"/>
          <w:numId w:val="34"/>
        </w:numPr>
        <w:spacing w:line="276" w:lineRule="auto"/>
        <w:jc w:val="both"/>
        <w:rPr>
          <w:rFonts w:ascii="Calibri" w:hAnsi="Calibri" w:cs="Arial"/>
        </w:rPr>
      </w:pPr>
      <w:r>
        <w:rPr>
          <w:rFonts w:ascii="Calibri" w:hAnsi="Calibri" w:cs="Arial"/>
        </w:rPr>
        <w:t>Relevant wards should be notified that there may be a delay in the delivery of SACT</w:t>
      </w:r>
    </w:p>
    <w:p w14:paraId="4DD86E86" w14:textId="77777777" w:rsidR="009C07BC" w:rsidRDefault="009C07BC" w:rsidP="009C07BC">
      <w:pPr>
        <w:pStyle w:val="ListParagraph"/>
        <w:numPr>
          <w:ilvl w:val="0"/>
          <w:numId w:val="34"/>
        </w:numPr>
        <w:spacing w:line="276" w:lineRule="auto"/>
        <w:jc w:val="both"/>
        <w:rPr>
          <w:rFonts w:ascii="Calibri" w:hAnsi="Calibri" w:cs="Arial"/>
        </w:rPr>
      </w:pPr>
      <w:r>
        <w:rPr>
          <w:rFonts w:ascii="Calibri" w:hAnsi="Calibri" w:cs="Arial"/>
        </w:rPr>
        <w:t>A SACT spillage kit should be retrieved</w:t>
      </w:r>
    </w:p>
    <w:p w14:paraId="0314FC20" w14:textId="73C669FB" w:rsidR="009C07BC" w:rsidRDefault="0083409F" w:rsidP="009C07BC">
      <w:pPr>
        <w:pStyle w:val="ListParagraph"/>
        <w:numPr>
          <w:ilvl w:val="0"/>
          <w:numId w:val="34"/>
        </w:numPr>
        <w:spacing w:line="276" w:lineRule="auto"/>
        <w:jc w:val="both"/>
        <w:rPr>
          <w:rFonts w:ascii="Calibri" w:hAnsi="Calibri" w:cs="Arial"/>
        </w:rPr>
      </w:pPr>
      <w:r>
        <w:rPr>
          <w:rFonts w:ascii="Calibri" w:hAnsi="Calibri" w:cs="Arial"/>
        </w:rPr>
        <w:lastRenderedPageBreak/>
        <w:t>The</w:t>
      </w:r>
      <w:r w:rsidR="009C07BC">
        <w:rPr>
          <w:rFonts w:ascii="Calibri" w:hAnsi="Calibri" w:cs="Arial"/>
        </w:rPr>
        <w:t xml:space="preserve"> spillage sign </w:t>
      </w:r>
      <w:r>
        <w:rPr>
          <w:rFonts w:ascii="Calibri" w:hAnsi="Calibri" w:cs="Arial"/>
        </w:rPr>
        <w:t xml:space="preserve">should be placed </w:t>
      </w:r>
      <w:r w:rsidR="009C07BC">
        <w:rPr>
          <w:rFonts w:ascii="Calibri" w:hAnsi="Calibri" w:cs="Arial"/>
        </w:rPr>
        <w:t xml:space="preserve">in a clearly visible position </w:t>
      </w:r>
    </w:p>
    <w:p w14:paraId="59BCC35D" w14:textId="77777777" w:rsidR="009C07BC" w:rsidRDefault="009C07BC" w:rsidP="009C07BC">
      <w:pPr>
        <w:pStyle w:val="ListParagraph"/>
        <w:numPr>
          <w:ilvl w:val="0"/>
          <w:numId w:val="34"/>
        </w:numPr>
        <w:spacing w:line="276" w:lineRule="auto"/>
        <w:jc w:val="both"/>
        <w:rPr>
          <w:rFonts w:ascii="Calibri" w:hAnsi="Calibri" w:cs="Arial"/>
        </w:rPr>
      </w:pPr>
      <w:r>
        <w:rPr>
          <w:rFonts w:ascii="Calibri" w:hAnsi="Calibri" w:cs="Arial"/>
        </w:rPr>
        <w:t>Relevant PPE stored in the spillage kit should be donned before managing the spillage such as gloves (2 pairs), goggles, face mask, gown, overshoes and apron (See appendix 1)</w:t>
      </w:r>
    </w:p>
    <w:p w14:paraId="399FBD19" w14:textId="36899007" w:rsidR="009C07BC" w:rsidRDefault="009C07BC" w:rsidP="009C07BC">
      <w:pPr>
        <w:pStyle w:val="ListParagraph"/>
        <w:numPr>
          <w:ilvl w:val="0"/>
          <w:numId w:val="34"/>
        </w:numPr>
        <w:spacing w:line="276" w:lineRule="auto"/>
        <w:jc w:val="both"/>
        <w:rPr>
          <w:rFonts w:ascii="Calibri" w:hAnsi="Calibri" w:cs="Arial"/>
        </w:rPr>
      </w:pPr>
      <w:r>
        <w:rPr>
          <w:rFonts w:ascii="Calibri" w:hAnsi="Calibri" w:cs="Arial"/>
        </w:rPr>
        <w:t>The process of clean up should follow the order of area of least contamination to area of greatest contamination. Damp paper towels should be placed over the spillage and wiped up. These wipes should then be placed in the waste bag supplied in the spill kit while ensuring not to create splashes</w:t>
      </w:r>
      <w:r w:rsidR="0083409F">
        <w:rPr>
          <w:rFonts w:ascii="Calibri" w:hAnsi="Calibri" w:cs="Arial"/>
        </w:rPr>
        <w:t xml:space="preserve"> or a cloud of powder</w:t>
      </w:r>
      <w:r>
        <w:rPr>
          <w:rFonts w:ascii="Calibri" w:hAnsi="Calibri" w:cs="Arial"/>
        </w:rPr>
        <w:t>.</w:t>
      </w:r>
    </w:p>
    <w:p w14:paraId="15A4F8F4" w14:textId="4F820A8F" w:rsidR="009C07BC" w:rsidRDefault="009C07BC" w:rsidP="009C07BC">
      <w:pPr>
        <w:pStyle w:val="ListParagraph"/>
        <w:numPr>
          <w:ilvl w:val="0"/>
          <w:numId w:val="34"/>
        </w:numPr>
        <w:spacing w:line="276" w:lineRule="auto"/>
        <w:jc w:val="both"/>
        <w:rPr>
          <w:rFonts w:ascii="Calibri" w:hAnsi="Calibri" w:cs="Arial"/>
        </w:rPr>
      </w:pPr>
      <w:r>
        <w:rPr>
          <w:rFonts w:ascii="Calibri" w:hAnsi="Calibri" w:cs="Arial"/>
        </w:rPr>
        <w:t>Broken vials or ampoules should be cleaned up using the scoop and damp paper towels supplied and then placed into the cytotoxic sharps bin.</w:t>
      </w:r>
    </w:p>
    <w:p w14:paraId="74EF6BC6" w14:textId="77777777" w:rsidR="009C07BC" w:rsidRPr="00187DEF" w:rsidRDefault="009C07BC" w:rsidP="009C07BC">
      <w:pPr>
        <w:pStyle w:val="ListParagraph"/>
        <w:numPr>
          <w:ilvl w:val="0"/>
          <w:numId w:val="34"/>
        </w:numPr>
        <w:spacing w:line="276" w:lineRule="auto"/>
        <w:jc w:val="both"/>
        <w:rPr>
          <w:rFonts w:ascii="Calibri" w:hAnsi="Calibri" w:cs="Arial"/>
        </w:rPr>
      </w:pPr>
      <w:r w:rsidRPr="00187DEF">
        <w:rPr>
          <w:rFonts w:ascii="Calibri" w:hAnsi="Calibri" w:cs="Arial"/>
        </w:rPr>
        <w:t xml:space="preserve">All areas should be cleaned with copious amounts of </w:t>
      </w:r>
      <w:r>
        <w:rPr>
          <w:rFonts w:ascii="Calibri" w:hAnsi="Calibri" w:cs="Arial"/>
        </w:rPr>
        <w:t xml:space="preserve">bottled </w:t>
      </w:r>
      <w:r w:rsidRPr="00187DEF">
        <w:rPr>
          <w:rFonts w:ascii="Calibri" w:hAnsi="Calibri" w:cs="Arial"/>
        </w:rPr>
        <w:t>water and dried with paper to</w:t>
      </w:r>
      <w:r>
        <w:rPr>
          <w:rFonts w:ascii="Calibri" w:hAnsi="Calibri" w:cs="Arial"/>
        </w:rPr>
        <w:t>wels s</w:t>
      </w:r>
      <w:r w:rsidRPr="00187DEF">
        <w:rPr>
          <w:rFonts w:ascii="Calibri" w:hAnsi="Calibri" w:cs="Arial"/>
        </w:rPr>
        <w:t>upplied</w:t>
      </w:r>
      <w:r>
        <w:rPr>
          <w:rFonts w:ascii="Calibri" w:hAnsi="Calibri" w:cs="Arial"/>
        </w:rPr>
        <w:t xml:space="preserve"> and disposed of in the cytotoxic waster bag.</w:t>
      </w:r>
    </w:p>
    <w:p w14:paraId="65C360B0" w14:textId="77777777" w:rsidR="00ED15D5" w:rsidRDefault="00ED15D5" w:rsidP="00C27FB9">
      <w:pPr>
        <w:spacing w:line="276" w:lineRule="auto"/>
        <w:jc w:val="both"/>
        <w:rPr>
          <w:rFonts w:ascii="Calibri" w:hAnsi="Calibri" w:cs="Arial"/>
        </w:rPr>
      </w:pPr>
    </w:p>
    <w:p w14:paraId="7E8ED1E7" w14:textId="5FE9E9C7" w:rsidR="00D337CD" w:rsidRDefault="00184394" w:rsidP="00C27FB9">
      <w:pPr>
        <w:pStyle w:val="Heading2"/>
        <w:spacing w:line="276" w:lineRule="auto"/>
      </w:pPr>
      <w:r>
        <w:t xml:space="preserve">Management of spillage in isolator </w:t>
      </w:r>
    </w:p>
    <w:p w14:paraId="0BC191CB" w14:textId="6B77729E" w:rsidR="00184394" w:rsidRDefault="00184394" w:rsidP="00C27FB9">
      <w:pPr>
        <w:pStyle w:val="ListParagraph"/>
        <w:numPr>
          <w:ilvl w:val="0"/>
          <w:numId w:val="35"/>
        </w:numPr>
        <w:spacing w:line="276" w:lineRule="auto"/>
      </w:pPr>
      <w:r>
        <w:t>The area around the spill should be isolated by a staff member</w:t>
      </w:r>
      <w:r w:rsidR="0083409F">
        <w:t>.</w:t>
      </w:r>
    </w:p>
    <w:p w14:paraId="667E2E47" w14:textId="048B5809" w:rsidR="00184394" w:rsidRDefault="00184394" w:rsidP="00C27FB9">
      <w:pPr>
        <w:pStyle w:val="ListParagraph"/>
        <w:numPr>
          <w:ilvl w:val="0"/>
          <w:numId w:val="35"/>
        </w:numPr>
        <w:spacing w:line="276" w:lineRule="auto"/>
      </w:pPr>
      <w:r>
        <w:t>The ACU team lead/manager should be notified about the spillage and one person should be responsible for managing the spillage</w:t>
      </w:r>
      <w:r w:rsidR="0083409F">
        <w:t>.</w:t>
      </w:r>
    </w:p>
    <w:p w14:paraId="522676F7" w14:textId="0B8E3D6F" w:rsidR="00E012BA" w:rsidRPr="00E012BA" w:rsidRDefault="00E012BA" w:rsidP="00E012BA">
      <w:pPr>
        <w:pStyle w:val="ListParagraph"/>
        <w:numPr>
          <w:ilvl w:val="0"/>
          <w:numId w:val="35"/>
        </w:numPr>
        <w:spacing w:line="276" w:lineRule="auto"/>
        <w:jc w:val="both"/>
        <w:rPr>
          <w:rFonts w:ascii="Calibri" w:hAnsi="Calibri" w:cs="Arial"/>
        </w:rPr>
      </w:pPr>
      <w:r>
        <w:rPr>
          <w:rFonts w:ascii="Calibri" w:hAnsi="Calibri" w:cs="Arial"/>
        </w:rPr>
        <w:t>Relevant wards should be notified that there may be a delay in the delivery of SACT</w:t>
      </w:r>
      <w:r w:rsidR="0083409F">
        <w:rPr>
          <w:rFonts w:ascii="Calibri" w:hAnsi="Calibri" w:cs="Arial"/>
        </w:rPr>
        <w:t>.</w:t>
      </w:r>
    </w:p>
    <w:p w14:paraId="30A8401D" w14:textId="76B389BA" w:rsidR="00184394" w:rsidRDefault="00184394" w:rsidP="00C27FB9">
      <w:pPr>
        <w:pStyle w:val="ListParagraph"/>
        <w:numPr>
          <w:ilvl w:val="0"/>
          <w:numId w:val="35"/>
        </w:numPr>
        <w:spacing w:line="276" w:lineRule="auto"/>
      </w:pPr>
      <w:r>
        <w:t>For liquid spillages a packet of dry wipes should be opened and placed over the spillage</w:t>
      </w:r>
      <w:r w:rsidR="0083409F">
        <w:t>.</w:t>
      </w:r>
    </w:p>
    <w:p w14:paraId="045D13DB" w14:textId="72A9626A" w:rsidR="00184394" w:rsidRDefault="00184394" w:rsidP="00C27FB9">
      <w:pPr>
        <w:pStyle w:val="ListParagraph"/>
        <w:numPr>
          <w:ilvl w:val="0"/>
          <w:numId w:val="35"/>
        </w:numPr>
        <w:spacing w:line="276" w:lineRule="auto"/>
      </w:pPr>
      <w:r>
        <w:t>For dry powder spillage dry wipes should be soaked in sterile water and placed over the powder</w:t>
      </w:r>
      <w:r w:rsidR="0083409F">
        <w:t>.</w:t>
      </w:r>
    </w:p>
    <w:p w14:paraId="48178C78" w14:textId="2C566BD3" w:rsidR="00D337CD" w:rsidRDefault="008626E4" w:rsidP="00C27FB9">
      <w:pPr>
        <w:pStyle w:val="ListParagraph"/>
        <w:numPr>
          <w:ilvl w:val="0"/>
          <w:numId w:val="35"/>
        </w:numPr>
        <w:spacing w:line="276" w:lineRule="auto"/>
      </w:pPr>
      <w:r>
        <w:t>Sterile detergent can be used if needed to clean residue</w:t>
      </w:r>
      <w:r w:rsidR="0083409F">
        <w:t>.</w:t>
      </w:r>
    </w:p>
    <w:p w14:paraId="4A74B3AE" w14:textId="77777777" w:rsidR="00D337CD" w:rsidRDefault="00D337CD" w:rsidP="00C27FB9">
      <w:pPr>
        <w:spacing w:line="276" w:lineRule="auto"/>
      </w:pPr>
    </w:p>
    <w:p w14:paraId="7A1DFD1D" w14:textId="5A2DE24A" w:rsidR="00D337CD" w:rsidRDefault="00D337CD" w:rsidP="00C27FB9">
      <w:pPr>
        <w:pStyle w:val="Heading2"/>
        <w:spacing w:line="276" w:lineRule="auto"/>
      </w:pPr>
      <w:r>
        <w:t>S</w:t>
      </w:r>
      <w:r w:rsidR="008546EB">
        <w:t>pillage/splashback onto staff member</w:t>
      </w:r>
      <w:r w:rsidR="00193116">
        <w:t xml:space="preserve"> (dermal and ocular)</w:t>
      </w:r>
    </w:p>
    <w:p w14:paraId="52FA6BE3" w14:textId="77777777" w:rsidR="00E80041" w:rsidRDefault="00E80041" w:rsidP="00312DBC">
      <w:pPr>
        <w:pStyle w:val="ListParagraph"/>
        <w:numPr>
          <w:ilvl w:val="0"/>
          <w:numId w:val="34"/>
        </w:numPr>
        <w:spacing w:line="276" w:lineRule="auto"/>
        <w:jc w:val="both"/>
        <w:rPr>
          <w:rFonts w:ascii="Calibri" w:hAnsi="Calibri" w:cs="Arial"/>
        </w:rPr>
      </w:pPr>
      <w:r w:rsidRPr="00E80041">
        <w:rPr>
          <w:rFonts w:ascii="Calibri" w:hAnsi="Calibri" w:cs="Arial"/>
          <w:b/>
        </w:rPr>
        <w:t>Dermal:</w:t>
      </w:r>
      <w:r>
        <w:rPr>
          <w:rFonts w:ascii="Calibri" w:hAnsi="Calibri" w:cs="Arial"/>
        </w:rPr>
        <w:t xml:space="preserve"> </w:t>
      </w:r>
    </w:p>
    <w:p w14:paraId="10B385D5" w14:textId="3873405D" w:rsidR="00E012BA" w:rsidRDefault="00E012BA" w:rsidP="00E80041">
      <w:pPr>
        <w:pStyle w:val="ListParagraph"/>
        <w:numPr>
          <w:ilvl w:val="1"/>
          <w:numId w:val="34"/>
        </w:numPr>
        <w:spacing w:line="276" w:lineRule="auto"/>
        <w:jc w:val="both"/>
        <w:rPr>
          <w:rFonts w:ascii="Calibri" w:hAnsi="Calibri" w:cs="Arial"/>
        </w:rPr>
      </w:pPr>
      <w:r>
        <w:rPr>
          <w:rFonts w:ascii="Calibri" w:hAnsi="Calibri" w:cs="Arial"/>
        </w:rPr>
        <w:t>T</w:t>
      </w:r>
      <w:r w:rsidR="00451E07" w:rsidRPr="00312DBC">
        <w:rPr>
          <w:rFonts w:ascii="Calibri" w:hAnsi="Calibri" w:cs="Arial"/>
        </w:rPr>
        <w:t xml:space="preserve">he clothing should be removed </w:t>
      </w:r>
      <w:r>
        <w:rPr>
          <w:rFonts w:ascii="Calibri" w:hAnsi="Calibri" w:cs="Arial"/>
        </w:rPr>
        <w:t>immediately and</w:t>
      </w:r>
      <w:r w:rsidR="00451E07" w:rsidRPr="00312DBC">
        <w:rPr>
          <w:rFonts w:ascii="Calibri" w:hAnsi="Calibri" w:cs="Arial"/>
        </w:rPr>
        <w:t xml:space="preserve"> affected area should be </w:t>
      </w:r>
      <w:r>
        <w:rPr>
          <w:rFonts w:ascii="Calibri" w:hAnsi="Calibri" w:cs="Arial"/>
        </w:rPr>
        <w:t xml:space="preserve">rinsed </w:t>
      </w:r>
      <w:r w:rsidR="00451E07" w:rsidRPr="00312DBC">
        <w:rPr>
          <w:rFonts w:ascii="Calibri" w:hAnsi="Calibri" w:cs="Arial"/>
        </w:rPr>
        <w:t>immediately with</w:t>
      </w:r>
      <w:r>
        <w:rPr>
          <w:rFonts w:ascii="Calibri" w:hAnsi="Calibri" w:cs="Arial"/>
        </w:rPr>
        <w:t xml:space="preserve"> water then</w:t>
      </w:r>
      <w:r w:rsidR="00451E07" w:rsidRPr="00312DBC">
        <w:rPr>
          <w:rFonts w:ascii="Calibri" w:hAnsi="Calibri" w:cs="Arial"/>
        </w:rPr>
        <w:t xml:space="preserve"> large amounts of soapy water</w:t>
      </w:r>
      <w:r>
        <w:rPr>
          <w:rFonts w:ascii="Calibri" w:hAnsi="Calibri" w:cs="Arial"/>
        </w:rPr>
        <w:t xml:space="preserve"> for 15 minutes</w:t>
      </w:r>
      <w:r w:rsidR="00451E07" w:rsidRPr="00312DBC">
        <w:rPr>
          <w:rFonts w:ascii="Calibri" w:hAnsi="Calibri" w:cs="Arial"/>
        </w:rPr>
        <w:t xml:space="preserve">. </w:t>
      </w:r>
    </w:p>
    <w:p w14:paraId="5762E381" w14:textId="73262E1D" w:rsidR="00E012BA" w:rsidRDefault="00E012BA" w:rsidP="00E80041">
      <w:pPr>
        <w:pStyle w:val="ListParagraph"/>
        <w:numPr>
          <w:ilvl w:val="1"/>
          <w:numId w:val="34"/>
        </w:numPr>
        <w:spacing w:line="276" w:lineRule="auto"/>
        <w:jc w:val="both"/>
        <w:rPr>
          <w:rFonts w:ascii="Calibri" w:hAnsi="Calibri" w:cs="Arial"/>
        </w:rPr>
      </w:pPr>
      <w:r>
        <w:rPr>
          <w:rFonts w:ascii="Calibri" w:hAnsi="Calibri" w:cs="Arial"/>
        </w:rPr>
        <w:t>If a large surface area of skin has come in contact the staff member should be directed to appropriate showers to clean</w:t>
      </w:r>
    </w:p>
    <w:p w14:paraId="6B8438BE" w14:textId="22F0F353" w:rsidR="00D337CD" w:rsidRPr="00312DBC" w:rsidRDefault="00451E07" w:rsidP="00E80041">
      <w:pPr>
        <w:pStyle w:val="ListParagraph"/>
        <w:numPr>
          <w:ilvl w:val="1"/>
          <w:numId w:val="34"/>
        </w:numPr>
        <w:spacing w:line="276" w:lineRule="auto"/>
        <w:jc w:val="both"/>
        <w:rPr>
          <w:rFonts w:ascii="Calibri" w:hAnsi="Calibri" w:cs="Arial"/>
        </w:rPr>
      </w:pPr>
      <w:r w:rsidRPr="00312DBC">
        <w:rPr>
          <w:rFonts w:ascii="Calibri" w:hAnsi="Calibri" w:cs="Arial"/>
        </w:rPr>
        <w:lastRenderedPageBreak/>
        <w:t>Seek review by medical team for patients or Occupational Health</w:t>
      </w:r>
      <w:r w:rsidR="009237F8" w:rsidRPr="00312DBC">
        <w:rPr>
          <w:rFonts w:ascii="Calibri" w:hAnsi="Calibri" w:cs="Arial"/>
        </w:rPr>
        <w:t xml:space="preserve"> </w:t>
      </w:r>
      <w:r w:rsidRPr="00312DBC">
        <w:rPr>
          <w:rFonts w:ascii="Calibri" w:hAnsi="Calibri" w:cs="Arial"/>
        </w:rPr>
        <w:t>as per local policy</w:t>
      </w:r>
    </w:p>
    <w:p w14:paraId="328AEB3D" w14:textId="77777777" w:rsidR="00E80041" w:rsidRDefault="00E80041" w:rsidP="00312DBC">
      <w:pPr>
        <w:pStyle w:val="ListParagraph"/>
        <w:numPr>
          <w:ilvl w:val="0"/>
          <w:numId w:val="34"/>
        </w:numPr>
        <w:spacing w:line="276" w:lineRule="auto"/>
        <w:jc w:val="both"/>
        <w:rPr>
          <w:rFonts w:ascii="Calibri" w:hAnsi="Calibri" w:cs="Arial"/>
        </w:rPr>
      </w:pPr>
      <w:r w:rsidRPr="00E80041">
        <w:rPr>
          <w:rFonts w:ascii="Calibri" w:hAnsi="Calibri" w:cs="Arial"/>
          <w:b/>
        </w:rPr>
        <w:t>Ocular:</w:t>
      </w:r>
      <w:r>
        <w:rPr>
          <w:rFonts w:ascii="Calibri" w:hAnsi="Calibri" w:cs="Arial"/>
        </w:rPr>
        <w:t xml:space="preserve"> </w:t>
      </w:r>
    </w:p>
    <w:p w14:paraId="46C1750B" w14:textId="4AC9D4C7" w:rsidR="00E80041" w:rsidRDefault="004A1CB8" w:rsidP="00E80041">
      <w:pPr>
        <w:pStyle w:val="ListParagraph"/>
        <w:numPr>
          <w:ilvl w:val="1"/>
          <w:numId w:val="34"/>
        </w:numPr>
        <w:spacing w:line="276" w:lineRule="auto"/>
        <w:jc w:val="both"/>
        <w:rPr>
          <w:rFonts w:ascii="Calibri" w:hAnsi="Calibri" w:cs="Arial"/>
        </w:rPr>
      </w:pPr>
      <w:r w:rsidRPr="00312DBC">
        <w:rPr>
          <w:rFonts w:ascii="Calibri" w:hAnsi="Calibri" w:cs="Arial"/>
        </w:rPr>
        <w:t xml:space="preserve">If an </w:t>
      </w:r>
      <w:r w:rsidR="009237F8" w:rsidRPr="00312DBC">
        <w:rPr>
          <w:rFonts w:ascii="Calibri" w:hAnsi="Calibri" w:cs="Arial"/>
        </w:rPr>
        <w:t>eye</w:t>
      </w:r>
      <w:r w:rsidRPr="00312DBC">
        <w:rPr>
          <w:rFonts w:ascii="Calibri" w:hAnsi="Calibri" w:cs="Arial"/>
        </w:rPr>
        <w:t>(</w:t>
      </w:r>
      <w:r w:rsidR="009237F8" w:rsidRPr="00312DBC">
        <w:rPr>
          <w:rFonts w:ascii="Calibri" w:hAnsi="Calibri" w:cs="Arial"/>
        </w:rPr>
        <w:t>s</w:t>
      </w:r>
      <w:r w:rsidRPr="00312DBC">
        <w:rPr>
          <w:rFonts w:ascii="Calibri" w:hAnsi="Calibri" w:cs="Arial"/>
        </w:rPr>
        <w:t>)</w:t>
      </w:r>
      <w:r w:rsidR="009237F8" w:rsidRPr="00312DBC">
        <w:rPr>
          <w:rFonts w:ascii="Calibri" w:hAnsi="Calibri" w:cs="Arial"/>
        </w:rPr>
        <w:t xml:space="preserve"> have been splashed with </w:t>
      </w:r>
      <w:r w:rsidR="00555B52">
        <w:rPr>
          <w:rFonts w:ascii="Calibri" w:hAnsi="Calibri" w:cs="Arial"/>
        </w:rPr>
        <w:t xml:space="preserve">SACT </w:t>
      </w:r>
      <w:r w:rsidR="009237F8" w:rsidRPr="00312DBC">
        <w:rPr>
          <w:rFonts w:ascii="Calibri" w:hAnsi="Calibri" w:cs="Arial"/>
        </w:rPr>
        <w:t>drugs, the affected eye(s) should be rinsed immediately with wat</w:t>
      </w:r>
      <w:r w:rsidRPr="00312DBC">
        <w:rPr>
          <w:rFonts w:ascii="Calibri" w:hAnsi="Calibri" w:cs="Arial"/>
        </w:rPr>
        <w:t>er</w:t>
      </w:r>
      <w:r w:rsidR="00555B52">
        <w:rPr>
          <w:rFonts w:ascii="Calibri" w:hAnsi="Calibri" w:cs="Arial"/>
        </w:rPr>
        <w:t xml:space="preserve"> for irrigation</w:t>
      </w:r>
      <w:r w:rsidRPr="00312DBC">
        <w:rPr>
          <w:rFonts w:ascii="Calibri" w:hAnsi="Calibri" w:cs="Arial"/>
        </w:rPr>
        <w:t xml:space="preserve"> or s</w:t>
      </w:r>
      <w:r w:rsidR="009237F8" w:rsidRPr="00312DBC">
        <w:rPr>
          <w:rFonts w:ascii="Calibri" w:hAnsi="Calibri" w:cs="Arial"/>
        </w:rPr>
        <w:t xml:space="preserve">odium </w:t>
      </w:r>
      <w:r w:rsidRPr="00312DBC">
        <w:rPr>
          <w:rFonts w:ascii="Calibri" w:hAnsi="Calibri" w:cs="Arial"/>
        </w:rPr>
        <w:t>c</w:t>
      </w:r>
      <w:r w:rsidR="009237F8" w:rsidRPr="00312DBC">
        <w:rPr>
          <w:rFonts w:ascii="Calibri" w:hAnsi="Calibri" w:cs="Arial"/>
        </w:rPr>
        <w:t>hloride 0.9% for irrigation</w:t>
      </w:r>
      <w:r w:rsidRPr="00312DBC">
        <w:rPr>
          <w:rFonts w:ascii="Calibri" w:hAnsi="Calibri" w:cs="Arial"/>
        </w:rPr>
        <w:t xml:space="preserve"> using an eyebath</w:t>
      </w:r>
      <w:r w:rsidR="0083409F">
        <w:rPr>
          <w:rFonts w:ascii="Calibri" w:hAnsi="Calibri" w:cs="Arial"/>
        </w:rPr>
        <w:t xml:space="preserve"> for 15 minutes</w:t>
      </w:r>
      <w:r w:rsidR="00E80041">
        <w:rPr>
          <w:rFonts w:ascii="Calibri" w:hAnsi="Calibri" w:cs="Arial"/>
        </w:rPr>
        <w:t>.</w:t>
      </w:r>
    </w:p>
    <w:p w14:paraId="59822FD1" w14:textId="3BF4C02B" w:rsidR="00E80041" w:rsidRDefault="004A1CB8" w:rsidP="00E80041">
      <w:pPr>
        <w:pStyle w:val="ListParagraph"/>
        <w:numPr>
          <w:ilvl w:val="1"/>
          <w:numId w:val="34"/>
        </w:numPr>
        <w:spacing w:line="276" w:lineRule="auto"/>
        <w:jc w:val="both"/>
        <w:rPr>
          <w:rFonts w:ascii="Calibri" w:hAnsi="Calibri" w:cs="Arial"/>
        </w:rPr>
      </w:pPr>
      <w:r w:rsidRPr="00312DBC">
        <w:rPr>
          <w:rFonts w:ascii="Calibri" w:hAnsi="Calibri" w:cs="Arial"/>
        </w:rPr>
        <w:t>Each ACU should have a readily accessible first aid eyewash station</w:t>
      </w:r>
      <w:r w:rsidR="00555B52">
        <w:rPr>
          <w:rFonts w:ascii="Calibri" w:hAnsi="Calibri" w:cs="Arial"/>
        </w:rPr>
        <w:t xml:space="preserve"> with these solutions available. </w:t>
      </w:r>
    </w:p>
    <w:p w14:paraId="2BA9D30D" w14:textId="3D7B529D" w:rsidR="009237F8" w:rsidRDefault="009237F8" w:rsidP="00E80041">
      <w:pPr>
        <w:pStyle w:val="ListParagraph"/>
        <w:numPr>
          <w:ilvl w:val="1"/>
          <w:numId w:val="34"/>
        </w:numPr>
        <w:spacing w:line="276" w:lineRule="auto"/>
        <w:jc w:val="both"/>
        <w:rPr>
          <w:rFonts w:ascii="Calibri" w:hAnsi="Calibri" w:cs="Arial"/>
        </w:rPr>
      </w:pPr>
      <w:r w:rsidRPr="00312DBC">
        <w:rPr>
          <w:rFonts w:ascii="Calibri" w:hAnsi="Calibri" w:cs="Arial"/>
        </w:rPr>
        <w:t xml:space="preserve">The </w:t>
      </w:r>
      <w:r w:rsidR="00E80041">
        <w:rPr>
          <w:rFonts w:ascii="Calibri" w:hAnsi="Calibri" w:cs="Arial"/>
        </w:rPr>
        <w:t>affected person</w:t>
      </w:r>
      <w:r w:rsidRPr="00312DBC">
        <w:rPr>
          <w:rFonts w:ascii="Calibri" w:hAnsi="Calibri" w:cs="Arial"/>
        </w:rPr>
        <w:t xml:space="preserve"> involved should be referred </w:t>
      </w:r>
      <w:r w:rsidR="00E80041" w:rsidRPr="00312DBC">
        <w:rPr>
          <w:rFonts w:ascii="Calibri" w:hAnsi="Calibri" w:cs="Arial"/>
        </w:rPr>
        <w:t xml:space="preserve">Occupational Health and </w:t>
      </w:r>
      <w:r w:rsidRPr="00312DBC">
        <w:rPr>
          <w:rFonts w:ascii="Calibri" w:hAnsi="Calibri" w:cs="Arial"/>
        </w:rPr>
        <w:t>to the nearest specialist eye centre for fu</w:t>
      </w:r>
      <w:r w:rsidR="00E80041">
        <w:rPr>
          <w:rFonts w:ascii="Calibri" w:hAnsi="Calibri" w:cs="Arial"/>
        </w:rPr>
        <w:t>rther assessment if required.</w:t>
      </w:r>
    </w:p>
    <w:p w14:paraId="3F1D19A4" w14:textId="043B312B" w:rsidR="00E80041" w:rsidRPr="00312DBC" w:rsidRDefault="00E80041" w:rsidP="00E80041">
      <w:pPr>
        <w:pStyle w:val="ListParagraph"/>
        <w:numPr>
          <w:ilvl w:val="1"/>
          <w:numId w:val="34"/>
        </w:numPr>
        <w:spacing w:line="276" w:lineRule="auto"/>
        <w:jc w:val="both"/>
        <w:rPr>
          <w:rFonts w:ascii="Calibri" w:hAnsi="Calibri" w:cs="Arial"/>
        </w:rPr>
      </w:pPr>
      <w:r>
        <w:rPr>
          <w:rFonts w:ascii="Calibri" w:hAnsi="Calibri" w:cs="Arial"/>
        </w:rPr>
        <w:t>T</w:t>
      </w:r>
      <w:r w:rsidRPr="00312DBC">
        <w:rPr>
          <w:rFonts w:ascii="Calibri" w:hAnsi="Calibri" w:cs="Arial"/>
        </w:rPr>
        <w:t>he ACU manager should be informed as per local policy</w:t>
      </w:r>
    </w:p>
    <w:p w14:paraId="102ED55F" w14:textId="31B5B3B9" w:rsidR="005F0976" w:rsidRDefault="005F0976" w:rsidP="005F0976">
      <w:pPr>
        <w:spacing w:line="276" w:lineRule="auto"/>
        <w:ind w:left="360"/>
      </w:pPr>
    </w:p>
    <w:p w14:paraId="22BC99F9" w14:textId="66804DBF" w:rsidR="005F0976" w:rsidRDefault="005F0976" w:rsidP="005F0976">
      <w:pPr>
        <w:pStyle w:val="Heading2"/>
      </w:pPr>
      <w:r>
        <w:t>Spillage on clothing of staff member</w:t>
      </w:r>
    </w:p>
    <w:p w14:paraId="47901BF0" w14:textId="77777777" w:rsidR="00E012BA" w:rsidRDefault="009A3C8D" w:rsidP="009A3C8D">
      <w:pPr>
        <w:pStyle w:val="ListParagraph"/>
        <w:numPr>
          <w:ilvl w:val="0"/>
          <w:numId w:val="34"/>
        </w:numPr>
        <w:spacing w:line="276" w:lineRule="auto"/>
        <w:jc w:val="both"/>
        <w:rPr>
          <w:rFonts w:ascii="Calibri" w:hAnsi="Calibri" w:cs="Arial"/>
        </w:rPr>
      </w:pPr>
      <w:r>
        <w:rPr>
          <w:rFonts w:ascii="Calibri" w:hAnsi="Calibri" w:cs="Arial"/>
        </w:rPr>
        <w:t>The s</w:t>
      </w:r>
      <w:r w:rsidR="00506D68" w:rsidRPr="009A3C8D">
        <w:rPr>
          <w:rFonts w:ascii="Calibri" w:hAnsi="Calibri" w:cs="Arial"/>
        </w:rPr>
        <w:t xml:space="preserve">taff member should remove themselves from source of contamination.  </w:t>
      </w:r>
    </w:p>
    <w:p w14:paraId="3981FBC3" w14:textId="01C33F29" w:rsidR="00506D68" w:rsidRPr="009A3C8D" w:rsidRDefault="00506D68" w:rsidP="009A3C8D">
      <w:pPr>
        <w:pStyle w:val="ListParagraph"/>
        <w:numPr>
          <w:ilvl w:val="0"/>
          <w:numId w:val="34"/>
        </w:numPr>
        <w:spacing w:line="276" w:lineRule="auto"/>
        <w:jc w:val="both"/>
        <w:rPr>
          <w:rFonts w:ascii="Calibri" w:hAnsi="Calibri" w:cs="Arial"/>
        </w:rPr>
      </w:pPr>
      <w:r w:rsidRPr="009A3C8D">
        <w:rPr>
          <w:rFonts w:ascii="Calibri" w:hAnsi="Calibri" w:cs="Arial"/>
        </w:rPr>
        <w:t xml:space="preserve">All items of contaminated clothing should be removed as soon as possible. Clothing </w:t>
      </w:r>
      <w:r w:rsidR="00E012BA">
        <w:rPr>
          <w:rFonts w:ascii="Calibri" w:hAnsi="Calibri" w:cs="Arial"/>
        </w:rPr>
        <w:t>with</w:t>
      </w:r>
      <w:r w:rsidRPr="009A3C8D">
        <w:rPr>
          <w:rFonts w:ascii="Calibri" w:hAnsi="Calibri" w:cs="Arial"/>
        </w:rPr>
        <w:t xml:space="preserve"> minimal contamination should be washed as per contaminated linen.  (Place in linen bag and </w:t>
      </w:r>
      <w:proofErr w:type="gramStart"/>
      <w:r w:rsidRPr="009A3C8D">
        <w:rPr>
          <w:rFonts w:ascii="Calibri" w:hAnsi="Calibri" w:cs="Arial"/>
        </w:rPr>
        <w:t>advise</w:t>
      </w:r>
      <w:proofErr w:type="gramEnd"/>
      <w:r w:rsidRPr="009A3C8D">
        <w:rPr>
          <w:rFonts w:ascii="Calibri" w:hAnsi="Calibri" w:cs="Arial"/>
        </w:rPr>
        <w:t xml:space="preserve"> the staff member to wash </w:t>
      </w:r>
      <w:r w:rsidR="00E80041">
        <w:rPr>
          <w:rFonts w:ascii="Calibri" w:hAnsi="Calibri" w:cs="Arial"/>
        </w:rPr>
        <w:t xml:space="preserve">the item(s) </w:t>
      </w:r>
      <w:r w:rsidRPr="009A3C8D">
        <w:rPr>
          <w:rFonts w:ascii="Calibri" w:hAnsi="Calibri" w:cs="Arial"/>
        </w:rPr>
        <w:t xml:space="preserve">3 times at the maximum temperature for that clothing – if unknown, wash at 40°C). </w:t>
      </w:r>
    </w:p>
    <w:p w14:paraId="61451F68" w14:textId="53A5FC2A" w:rsidR="005F0976" w:rsidRPr="009A3C8D" w:rsidRDefault="00506D68" w:rsidP="009A3C8D">
      <w:pPr>
        <w:pStyle w:val="ListParagraph"/>
        <w:numPr>
          <w:ilvl w:val="0"/>
          <w:numId w:val="34"/>
        </w:numPr>
        <w:spacing w:line="276" w:lineRule="auto"/>
        <w:jc w:val="both"/>
        <w:rPr>
          <w:rFonts w:ascii="Calibri" w:hAnsi="Calibri" w:cs="Arial"/>
        </w:rPr>
      </w:pPr>
      <w:r w:rsidRPr="009A3C8D">
        <w:rPr>
          <w:rFonts w:ascii="Calibri" w:hAnsi="Calibri" w:cs="Arial"/>
        </w:rPr>
        <w:t xml:space="preserve">Clothing with a large amount of contamination must be disposed of as </w:t>
      </w:r>
      <w:r w:rsidR="00E80041">
        <w:rPr>
          <w:rFonts w:ascii="Calibri" w:hAnsi="Calibri" w:cs="Arial"/>
        </w:rPr>
        <w:t>contaminated/c</w:t>
      </w:r>
      <w:r w:rsidRPr="009A3C8D">
        <w:rPr>
          <w:rFonts w:ascii="Calibri" w:hAnsi="Calibri" w:cs="Arial"/>
        </w:rPr>
        <w:t>ytotoxic waste in a cytotoxic sharps bin.</w:t>
      </w:r>
    </w:p>
    <w:p w14:paraId="6A8ABAF9" w14:textId="77777777" w:rsidR="00692BA1" w:rsidRDefault="00692BA1" w:rsidP="00C27FB9">
      <w:pPr>
        <w:spacing w:line="276" w:lineRule="auto"/>
        <w:jc w:val="both"/>
        <w:rPr>
          <w:rFonts w:ascii="Calibri" w:hAnsi="Calibri" w:cs="Arial"/>
        </w:rPr>
      </w:pPr>
    </w:p>
    <w:p w14:paraId="339A28D8" w14:textId="0DF76A9E" w:rsidR="00692BA1" w:rsidRPr="00692BA1" w:rsidRDefault="00692BA1" w:rsidP="00692BA1">
      <w:pPr>
        <w:keepNext/>
        <w:numPr>
          <w:ilvl w:val="1"/>
          <w:numId w:val="16"/>
        </w:numPr>
        <w:tabs>
          <w:tab w:val="clear" w:pos="2736"/>
          <w:tab w:val="num" w:pos="360"/>
        </w:tabs>
        <w:spacing w:before="240" w:after="60"/>
        <w:ind w:left="567" w:hanging="567"/>
        <w:jc w:val="both"/>
        <w:outlineLvl w:val="1"/>
        <w:rPr>
          <w:rFonts w:eastAsia="MS Gothic"/>
          <w:b/>
          <w:bCs/>
          <w:iCs/>
          <w:color w:val="000000" w:themeColor="text1"/>
          <w:szCs w:val="28"/>
        </w:rPr>
      </w:pPr>
      <w:r w:rsidRPr="00692BA1">
        <w:rPr>
          <w:rFonts w:eastAsia="MS Gothic"/>
          <w:b/>
          <w:bCs/>
          <w:iCs/>
          <w:color w:val="000000" w:themeColor="text1"/>
          <w:szCs w:val="28"/>
        </w:rPr>
        <w:t>Spillage on</w:t>
      </w:r>
      <w:r>
        <w:rPr>
          <w:rFonts w:eastAsia="MS Gothic"/>
          <w:b/>
          <w:bCs/>
          <w:iCs/>
          <w:color w:val="000000" w:themeColor="text1"/>
          <w:szCs w:val="28"/>
        </w:rPr>
        <w:t xml:space="preserve"> clothing of</w:t>
      </w:r>
      <w:r w:rsidRPr="00692BA1">
        <w:rPr>
          <w:rFonts w:eastAsia="MS Gothic"/>
          <w:b/>
          <w:bCs/>
          <w:iCs/>
          <w:color w:val="000000" w:themeColor="text1"/>
          <w:szCs w:val="28"/>
        </w:rPr>
        <w:t xml:space="preserve"> </w:t>
      </w:r>
      <w:r>
        <w:rPr>
          <w:rFonts w:eastAsia="MS Gothic"/>
          <w:b/>
          <w:bCs/>
          <w:iCs/>
          <w:color w:val="000000" w:themeColor="text1"/>
          <w:szCs w:val="28"/>
        </w:rPr>
        <w:t>patient</w:t>
      </w:r>
    </w:p>
    <w:p w14:paraId="2E02D744" w14:textId="4FD3A33B" w:rsidR="00403D3E" w:rsidRDefault="00403D3E" w:rsidP="00692BA1">
      <w:pPr>
        <w:numPr>
          <w:ilvl w:val="0"/>
          <w:numId w:val="34"/>
        </w:numPr>
        <w:spacing w:line="276" w:lineRule="auto"/>
        <w:jc w:val="both"/>
        <w:rPr>
          <w:rFonts w:ascii="Calibri" w:hAnsi="Calibri" w:cs="Arial"/>
          <w:lang w:val="en-IE" w:eastAsia="en-GB"/>
        </w:rPr>
      </w:pPr>
      <w:r>
        <w:rPr>
          <w:rFonts w:ascii="Calibri" w:hAnsi="Calibri" w:cs="Arial"/>
          <w:lang w:val="en-IE" w:eastAsia="en-GB"/>
        </w:rPr>
        <w:t>The patient should follow the instructions in the spillage kit provided by the hospital.</w:t>
      </w:r>
    </w:p>
    <w:p w14:paraId="4284F5F4" w14:textId="63CBB0B6" w:rsidR="00403D3E" w:rsidRDefault="00403D3E" w:rsidP="00692BA1">
      <w:pPr>
        <w:numPr>
          <w:ilvl w:val="0"/>
          <w:numId w:val="34"/>
        </w:numPr>
        <w:spacing w:line="276" w:lineRule="auto"/>
        <w:jc w:val="both"/>
        <w:rPr>
          <w:rFonts w:ascii="Calibri" w:hAnsi="Calibri" w:cs="Arial"/>
          <w:lang w:val="en-IE" w:eastAsia="en-GB"/>
        </w:rPr>
      </w:pPr>
      <w:r>
        <w:rPr>
          <w:rFonts w:ascii="Calibri" w:hAnsi="Calibri" w:cs="Arial"/>
          <w:lang w:val="en-IE" w:eastAsia="en-GB"/>
        </w:rPr>
        <w:t>Spillage on skin or clothes should be dealt with first before addressing spills on surfaces.</w:t>
      </w:r>
    </w:p>
    <w:p w14:paraId="3C1DC21B" w14:textId="0D02E12B" w:rsidR="00692BA1" w:rsidRPr="00692BA1" w:rsidRDefault="00692BA1" w:rsidP="00692BA1">
      <w:pPr>
        <w:numPr>
          <w:ilvl w:val="0"/>
          <w:numId w:val="34"/>
        </w:numPr>
        <w:spacing w:line="276" w:lineRule="auto"/>
        <w:jc w:val="both"/>
        <w:rPr>
          <w:rFonts w:ascii="Calibri" w:hAnsi="Calibri" w:cs="Arial"/>
          <w:lang w:val="en-IE" w:eastAsia="en-GB"/>
        </w:rPr>
      </w:pPr>
      <w:r w:rsidRPr="00692BA1">
        <w:rPr>
          <w:rFonts w:ascii="Calibri" w:hAnsi="Calibri" w:cs="Arial"/>
          <w:lang w:val="en-IE" w:eastAsia="en-GB"/>
        </w:rPr>
        <w:t xml:space="preserve">The </w:t>
      </w:r>
      <w:r>
        <w:rPr>
          <w:rFonts w:ascii="Calibri" w:hAnsi="Calibri" w:cs="Arial"/>
          <w:lang w:val="en-IE" w:eastAsia="en-GB"/>
        </w:rPr>
        <w:t>patient</w:t>
      </w:r>
      <w:r w:rsidRPr="00692BA1">
        <w:rPr>
          <w:rFonts w:ascii="Calibri" w:hAnsi="Calibri" w:cs="Arial"/>
          <w:lang w:val="en-IE" w:eastAsia="en-GB"/>
        </w:rPr>
        <w:t xml:space="preserve"> should remove themselves from </w:t>
      </w:r>
      <w:r w:rsidR="00403D3E">
        <w:rPr>
          <w:rFonts w:ascii="Calibri" w:hAnsi="Calibri" w:cs="Arial"/>
          <w:lang w:val="en-IE" w:eastAsia="en-GB"/>
        </w:rPr>
        <w:t xml:space="preserve">the </w:t>
      </w:r>
      <w:r w:rsidRPr="00692BA1">
        <w:rPr>
          <w:rFonts w:ascii="Calibri" w:hAnsi="Calibri" w:cs="Arial"/>
          <w:lang w:val="en-IE" w:eastAsia="en-GB"/>
        </w:rPr>
        <w:t xml:space="preserve">source of contamination.  </w:t>
      </w:r>
    </w:p>
    <w:p w14:paraId="5CAC6544" w14:textId="77777777" w:rsidR="00692BA1" w:rsidRPr="00692BA1" w:rsidRDefault="00692BA1" w:rsidP="00692BA1">
      <w:pPr>
        <w:numPr>
          <w:ilvl w:val="0"/>
          <w:numId w:val="34"/>
        </w:numPr>
        <w:spacing w:line="276" w:lineRule="auto"/>
        <w:jc w:val="both"/>
        <w:rPr>
          <w:rFonts w:ascii="Calibri" w:hAnsi="Calibri" w:cs="Arial"/>
          <w:lang w:val="en-IE" w:eastAsia="en-GB"/>
        </w:rPr>
      </w:pPr>
      <w:r w:rsidRPr="00692BA1">
        <w:rPr>
          <w:rFonts w:ascii="Calibri" w:hAnsi="Calibri" w:cs="Arial"/>
          <w:lang w:val="en-IE" w:eastAsia="en-GB"/>
        </w:rPr>
        <w:t xml:space="preserve">All items of contaminated clothing should be removed as soon as possible. Clothing with minimal contamination should be washed as per contaminated linen.  (Place in linen bag and </w:t>
      </w:r>
      <w:proofErr w:type="gramStart"/>
      <w:r w:rsidRPr="00692BA1">
        <w:rPr>
          <w:rFonts w:ascii="Calibri" w:hAnsi="Calibri" w:cs="Arial"/>
          <w:lang w:val="en-IE" w:eastAsia="en-GB"/>
        </w:rPr>
        <w:t>advise</w:t>
      </w:r>
      <w:proofErr w:type="gramEnd"/>
      <w:r w:rsidRPr="00692BA1">
        <w:rPr>
          <w:rFonts w:ascii="Calibri" w:hAnsi="Calibri" w:cs="Arial"/>
          <w:lang w:val="en-IE" w:eastAsia="en-GB"/>
        </w:rPr>
        <w:t xml:space="preserve"> the staff member to wash the item(s) 3 times at the maximum temperature for that clothing – if unknown, wash at 40°C). </w:t>
      </w:r>
    </w:p>
    <w:p w14:paraId="5CB5CB47" w14:textId="77777777" w:rsidR="00692BA1" w:rsidRPr="00692BA1" w:rsidRDefault="00692BA1" w:rsidP="00692BA1">
      <w:pPr>
        <w:numPr>
          <w:ilvl w:val="0"/>
          <w:numId w:val="34"/>
        </w:numPr>
        <w:spacing w:line="276" w:lineRule="auto"/>
        <w:jc w:val="both"/>
        <w:rPr>
          <w:rFonts w:ascii="Calibri" w:hAnsi="Calibri" w:cs="Arial"/>
          <w:lang w:val="en-IE" w:eastAsia="en-GB"/>
        </w:rPr>
      </w:pPr>
      <w:r w:rsidRPr="00692BA1">
        <w:rPr>
          <w:rFonts w:ascii="Calibri" w:hAnsi="Calibri" w:cs="Arial"/>
          <w:lang w:val="en-IE" w:eastAsia="en-GB"/>
        </w:rPr>
        <w:t>Clothing with a large amount of contamination must be disposed of as contaminated/cytotoxic waste in a cytotoxic sharps bin.</w:t>
      </w:r>
    </w:p>
    <w:p w14:paraId="3CFC8111" w14:textId="2BA81718" w:rsidR="004451CE" w:rsidRPr="00F53ECD" w:rsidRDefault="00114F9F" w:rsidP="00C27FB9">
      <w:pPr>
        <w:spacing w:line="276" w:lineRule="auto"/>
        <w:jc w:val="both"/>
        <w:rPr>
          <w:rFonts w:ascii="Calibri" w:hAnsi="Calibri" w:cs="Arial"/>
        </w:rPr>
      </w:pPr>
      <w:r>
        <w:rPr>
          <w:rFonts w:ascii="Calibri" w:hAnsi="Calibri" w:cs="Arial"/>
        </w:rPr>
        <w:lastRenderedPageBreak/>
        <w:br w:type="page"/>
      </w:r>
      <w:bookmarkStart w:id="3" w:name="_Toc307134665"/>
      <w:bookmarkStart w:id="4" w:name="_Toc450655837"/>
    </w:p>
    <w:p w14:paraId="3DF037ED" w14:textId="77777777" w:rsidR="00612B07" w:rsidRDefault="00612B07" w:rsidP="00C27FB9">
      <w:pPr>
        <w:pStyle w:val="Heading1"/>
        <w:spacing w:line="276" w:lineRule="auto"/>
      </w:pPr>
      <w:bookmarkStart w:id="5" w:name="_Toc452719428"/>
      <w:bookmarkStart w:id="6" w:name="_Toc15384034"/>
      <w:r w:rsidRPr="00ED54DE">
        <w:lastRenderedPageBreak/>
        <w:t>References</w:t>
      </w:r>
      <w:bookmarkEnd w:id="3"/>
      <w:bookmarkEnd w:id="4"/>
      <w:bookmarkEnd w:id="5"/>
      <w:bookmarkEnd w:id="6"/>
    </w:p>
    <w:p w14:paraId="439E5544" w14:textId="77777777" w:rsidR="00857D59" w:rsidRDefault="00857D59" w:rsidP="00C27FB9">
      <w:pPr>
        <w:spacing w:line="276" w:lineRule="auto"/>
      </w:pPr>
    </w:p>
    <w:p w14:paraId="2C39E733" w14:textId="418FFD22" w:rsidR="00857D59" w:rsidRDefault="009E2872" w:rsidP="00506D68">
      <w:pPr>
        <w:numPr>
          <w:ilvl w:val="0"/>
          <w:numId w:val="33"/>
        </w:numPr>
        <w:spacing w:line="276" w:lineRule="auto"/>
        <w:ind w:left="426"/>
      </w:pPr>
      <w:r>
        <w:t>RPS Quality Assurance of Aseptic Preparation Services: Standards Handbook, 5</w:t>
      </w:r>
      <w:r w:rsidRPr="009E2872">
        <w:rPr>
          <w:vertAlign w:val="superscript"/>
        </w:rPr>
        <w:t>th</w:t>
      </w:r>
      <w:r>
        <w:t xml:space="preserve"> Edition, Parts A and B.</w:t>
      </w:r>
    </w:p>
    <w:p w14:paraId="08122910" w14:textId="00215F78" w:rsidR="00506D68" w:rsidRDefault="009E2872" w:rsidP="00506D68">
      <w:pPr>
        <w:numPr>
          <w:ilvl w:val="0"/>
          <w:numId w:val="33"/>
        </w:numPr>
        <w:spacing w:line="276" w:lineRule="auto"/>
        <w:ind w:left="426"/>
      </w:pPr>
      <w:r>
        <w:t>The Health Service Executive Guideline on the Safe Handling and Use of Cytotoxic Drugs, GD 002:00</w:t>
      </w:r>
    </w:p>
    <w:p w14:paraId="45A1B9B4" w14:textId="36887128" w:rsidR="004B6089" w:rsidRPr="004B6089" w:rsidRDefault="00506D68" w:rsidP="00506D68">
      <w:pPr>
        <w:pStyle w:val="ListParagraph"/>
        <w:numPr>
          <w:ilvl w:val="0"/>
          <w:numId w:val="33"/>
        </w:numPr>
        <w:spacing w:line="276" w:lineRule="auto"/>
      </w:pPr>
      <w:r w:rsidRPr="004B6089">
        <w:t>NHS</w:t>
      </w:r>
      <w:r w:rsidR="0083409F" w:rsidRPr="004B6089">
        <w:t xml:space="preserve"> </w:t>
      </w:r>
      <w:r w:rsidR="003669B0" w:rsidRPr="004B6089">
        <w:t>Pan Birmingham</w:t>
      </w:r>
      <w:r w:rsidRPr="004B6089">
        <w:t xml:space="preserve"> Guidelines for the Management of Spillage of Cytotoxic Drugs v4</w:t>
      </w:r>
      <w:r w:rsidR="003669B0" w:rsidRPr="004B6089">
        <w:t>.</w:t>
      </w:r>
    </w:p>
    <w:p w14:paraId="78AE5AF6" w14:textId="66513161" w:rsidR="00497D1C" w:rsidRDefault="004B6089" w:rsidP="004B6089">
      <w:pPr>
        <w:pStyle w:val="ListParagraph"/>
        <w:numPr>
          <w:ilvl w:val="0"/>
          <w:numId w:val="33"/>
        </w:numPr>
        <w:spacing w:line="276" w:lineRule="auto"/>
        <w:rPr>
          <w:lang w:val="en-US" w:eastAsia="en-IE"/>
        </w:rPr>
      </w:pPr>
      <w:r>
        <w:rPr>
          <w:lang w:val="en-US" w:eastAsia="en-IE"/>
        </w:rPr>
        <w:t>H</w:t>
      </w:r>
      <w:r w:rsidR="00497D1C" w:rsidRPr="004B6089">
        <w:rPr>
          <w:lang w:val="en-US" w:eastAsia="en-IE"/>
        </w:rPr>
        <w:t>SE Guideline on the Safe Handling &amp; Use of Cytotoxic Drugs. 20</w:t>
      </w:r>
      <w:r w:rsidRPr="004B6089">
        <w:rPr>
          <w:lang w:val="en-US" w:eastAsia="en-IE"/>
        </w:rPr>
        <w:t>16</w:t>
      </w:r>
      <w:r w:rsidR="00497D1C" w:rsidRPr="004B6089">
        <w:rPr>
          <w:lang w:val="en-US" w:eastAsia="en-IE"/>
        </w:rPr>
        <w:t xml:space="preserve"> </w:t>
      </w:r>
    </w:p>
    <w:p w14:paraId="200269EC" w14:textId="45C2EBC2" w:rsidR="00AF34DA" w:rsidRDefault="00AF34DA" w:rsidP="004B6089">
      <w:pPr>
        <w:pStyle w:val="ListParagraph"/>
        <w:numPr>
          <w:ilvl w:val="0"/>
          <w:numId w:val="33"/>
        </w:numPr>
        <w:spacing w:line="276" w:lineRule="auto"/>
        <w:rPr>
          <w:lang w:val="en-US" w:eastAsia="en-IE"/>
        </w:rPr>
      </w:pPr>
      <w:r>
        <w:rPr>
          <w:lang w:val="en-US" w:eastAsia="en-IE"/>
        </w:rPr>
        <w:t>Guidance for Handling the Spillage of Systemic Anti-Cancer Therapy (SACT) by The West Midlands Cancer Alliance Expert Advisory Group September 2020</w:t>
      </w:r>
    </w:p>
    <w:p w14:paraId="6E7B4873" w14:textId="6A25FDD6" w:rsidR="00557316" w:rsidRPr="004B6089" w:rsidRDefault="00557316" w:rsidP="00557316">
      <w:pPr>
        <w:pStyle w:val="ListParagraph"/>
        <w:numPr>
          <w:ilvl w:val="0"/>
          <w:numId w:val="33"/>
        </w:numPr>
        <w:spacing w:line="276" w:lineRule="auto"/>
        <w:rPr>
          <w:lang w:val="en-US" w:eastAsia="en-IE"/>
        </w:rPr>
      </w:pPr>
      <w:r>
        <w:rPr>
          <w:lang w:val="en-US" w:eastAsia="en-IE"/>
        </w:rPr>
        <w:t>h</w:t>
      </w:r>
      <w:r w:rsidRPr="00557316">
        <w:rPr>
          <w:lang w:val="en-US" w:eastAsia="en-IE"/>
        </w:rPr>
        <w:t>ttps://www.eviq.org.au/clinical-resources/administration-of-anti-cancer-drugs/188-safe-handling-and-waste-management-of-hazardou#spill-and-accidental-exposure-management</w:t>
      </w:r>
    </w:p>
    <w:p w14:paraId="7367BC6E" w14:textId="44B6500E" w:rsidR="00576F64" w:rsidRPr="00642C0F" w:rsidRDefault="00576F64" w:rsidP="00506D68">
      <w:pPr>
        <w:spacing w:line="276" w:lineRule="auto"/>
        <w:rPr>
          <w:b/>
        </w:rPr>
      </w:pPr>
    </w:p>
    <w:p w14:paraId="2129EFAC" w14:textId="16C2BD7A" w:rsidR="00003766" w:rsidRDefault="00003766">
      <w:r>
        <w:br w:type="page"/>
      </w:r>
    </w:p>
    <w:p w14:paraId="06CC8C1C" w14:textId="16FDC16D" w:rsidR="00576F64" w:rsidRDefault="00576F64" w:rsidP="00576F64">
      <w:pPr>
        <w:pStyle w:val="Heading1"/>
        <w:spacing w:line="276" w:lineRule="auto"/>
      </w:pPr>
      <w:r>
        <w:lastRenderedPageBreak/>
        <w:t>Appendix 1</w:t>
      </w:r>
    </w:p>
    <w:p w14:paraId="15C0DD69" w14:textId="381E65E3" w:rsidR="00576F64" w:rsidRDefault="006A040B" w:rsidP="00576F64">
      <w:pPr>
        <w:pStyle w:val="Heading2"/>
        <w:spacing w:line="276" w:lineRule="auto"/>
      </w:pPr>
      <w:r>
        <w:t>Suggested</w:t>
      </w:r>
      <w:r w:rsidR="00576F64">
        <w:t xml:space="preserve"> Contents of Cytotoxic Spillage Kit</w:t>
      </w:r>
    </w:p>
    <w:p w14:paraId="0A54A485" w14:textId="2F9D0534" w:rsidR="00576F64" w:rsidRDefault="00576F64" w:rsidP="00576F64">
      <w:pPr>
        <w:spacing w:line="276" w:lineRule="auto"/>
      </w:pPr>
    </w:p>
    <w:tbl>
      <w:tblPr>
        <w:tblStyle w:val="TableGrid"/>
        <w:tblW w:w="0" w:type="auto"/>
        <w:tblLook w:val="04A0" w:firstRow="1" w:lastRow="0" w:firstColumn="1" w:lastColumn="0" w:noHBand="0" w:noVBand="1"/>
      </w:tblPr>
      <w:tblGrid>
        <w:gridCol w:w="6232"/>
        <w:gridCol w:w="2404"/>
      </w:tblGrid>
      <w:tr w:rsidR="001267CE" w14:paraId="6459ECD2" w14:textId="77777777" w:rsidTr="009F7264">
        <w:tc>
          <w:tcPr>
            <w:tcW w:w="8636" w:type="dxa"/>
            <w:gridSpan w:val="2"/>
          </w:tcPr>
          <w:p w14:paraId="2BDD502F" w14:textId="1CC8C00D" w:rsidR="001267CE" w:rsidRPr="001267CE" w:rsidRDefault="001267CE" w:rsidP="001267CE">
            <w:pPr>
              <w:spacing w:line="276" w:lineRule="auto"/>
              <w:jc w:val="center"/>
              <w:rPr>
                <w:b/>
              </w:rPr>
            </w:pPr>
            <w:r w:rsidRPr="001267CE">
              <w:rPr>
                <w:b/>
              </w:rPr>
              <w:t>CYTOTOXIC SPILLAGE KIT</w:t>
            </w:r>
          </w:p>
        </w:tc>
      </w:tr>
      <w:tr w:rsidR="001267CE" w14:paraId="11FB4720" w14:textId="77777777" w:rsidTr="00FB4815">
        <w:tc>
          <w:tcPr>
            <w:tcW w:w="6232" w:type="dxa"/>
          </w:tcPr>
          <w:p w14:paraId="1E9EAEBC" w14:textId="77777777" w:rsidR="001267CE" w:rsidRDefault="001267CE" w:rsidP="001267CE">
            <w:r>
              <w:t>1L bottle sterile water</w:t>
            </w:r>
          </w:p>
        </w:tc>
        <w:tc>
          <w:tcPr>
            <w:tcW w:w="2404" w:type="dxa"/>
          </w:tcPr>
          <w:p w14:paraId="48A235EB" w14:textId="4DADE384" w:rsidR="001267CE" w:rsidRDefault="009C07BC" w:rsidP="00FB4815">
            <w:pPr>
              <w:spacing w:line="276" w:lineRule="auto"/>
              <w:jc w:val="center"/>
            </w:pPr>
            <w:r>
              <w:t>1</w:t>
            </w:r>
          </w:p>
        </w:tc>
      </w:tr>
      <w:tr w:rsidR="001267CE" w14:paraId="6AB3A8B8" w14:textId="77777777" w:rsidTr="00FB4815">
        <w:tc>
          <w:tcPr>
            <w:tcW w:w="6232" w:type="dxa"/>
          </w:tcPr>
          <w:p w14:paraId="6FE4466D" w14:textId="01AD5924" w:rsidR="001267CE" w:rsidRDefault="001267CE" w:rsidP="00576F64">
            <w:pPr>
              <w:spacing w:line="276" w:lineRule="auto"/>
            </w:pPr>
            <w:r>
              <w:t>Absorbent Pad (50 x 40cm)</w:t>
            </w:r>
          </w:p>
        </w:tc>
        <w:tc>
          <w:tcPr>
            <w:tcW w:w="2404" w:type="dxa"/>
          </w:tcPr>
          <w:p w14:paraId="236EBF75" w14:textId="706423EB" w:rsidR="001267CE" w:rsidRDefault="009C07BC" w:rsidP="00FB4815">
            <w:pPr>
              <w:spacing w:line="276" w:lineRule="auto"/>
              <w:jc w:val="center"/>
            </w:pPr>
            <w:r>
              <w:t>2</w:t>
            </w:r>
          </w:p>
        </w:tc>
      </w:tr>
      <w:tr w:rsidR="001267CE" w14:paraId="398528DD" w14:textId="77777777" w:rsidTr="00FB4815">
        <w:tc>
          <w:tcPr>
            <w:tcW w:w="6232" w:type="dxa"/>
          </w:tcPr>
          <w:p w14:paraId="095C840C" w14:textId="77777777" w:rsidR="001267CE" w:rsidRDefault="001267CE" w:rsidP="001267CE">
            <w:r>
              <w:t>Absorbent towels</w:t>
            </w:r>
          </w:p>
        </w:tc>
        <w:tc>
          <w:tcPr>
            <w:tcW w:w="2404" w:type="dxa"/>
          </w:tcPr>
          <w:p w14:paraId="3D4274BC" w14:textId="1FEC41A9" w:rsidR="001267CE" w:rsidRDefault="00FB4815" w:rsidP="00FB4815">
            <w:pPr>
              <w:spacing w:line="276" w:lineRule="auto"/>
              <w:jc w:val="center"/>
            </w:pPr>
            <w:r>
              <w:t>Bundle</w:t>
            </w:r>
          </w:p>
        </w:tc>
      </w:tr>
      <w:tr w:rsidR="001267CE" w14:paraId="257A12D7" w14:textId="77777777" w:rsidTr="00FB4815">
        <w:tc>
          <w:tcPr>
            <w:tcW w:w="6232" w:type="dxa"/>
          </w:tcPr>
          <w:p w14:paraId="447D7496" w14:textId="77777777" w:rsidR="001267CE" w:rsidRDefault="001267CE" w:rsidP="001267CE">
            <w:r>
              <w:t>Chemotherapy spillage sign</w:t>
            </w:r>
          </w:p>
        </w:tc>
        <w:tc>
          <w:tcPr>
            <w:tcW w:w="2404" w:type="dxa"/>
          </w:tcPr>
          <w:p w14:paraId="1BEE7137" w14:textId="54CA7807" w:rsidR="001267CE" w:rsidRDefault="009C07BC" w:rsidP="00FB4815">
            <w:pPr>
              <w:spacing w:line="276" w:lineRule="auto"/>
              <w:jc w:val="center"/>
            </w:pPr>
            <w:r>
              <w:t>1</w:t>
            </w:r>
          </w:p>
        </w:tc>
      </w:tr>
      <w:tr w:rsidR="001267CE" w14:paraId="17DED30A" w14:textId="77777777" w:rsidTr="00FB4815">
        <w:tc>
          <w:tcPr>
            <w:tcW w:w="6232" w:type="dxa"/>
          </w:tcPr>
          <w:p w14:paraId="57317CFF" w14:textId="77777777" w:rsidR="001267CE" w:rsidRDefault="001267CE" w:rsidP="001267CE">
            <w:r>
              <w:t>Cytotoxic waste disposal bag</w:t>
            </w:r>
          </w:p>
        </w:tc>
        <w:tc>
          <w:tcPr>
            <w:tcW w:w="2404" w:type="dxa"/>
          </w:tcPr>
          <w:p w14:paraId="20953A00" w14:textId="28D6483D" w:rsidR="001267CE" w:rsidRDefault="00FB4815" w:rsidP="00FB4815">
            <w:pPr>
              <w:spacing w:line="276" w:lineRule="auto"/>
              <w:jc w:val="center"/>
            </w:pPr>
            <w:r>
              <w:t>1</w:t>
            </w:r>
          </w:p>
        </w:tc>
      </w:tr>
      <w:tr w:rsidR="001267CE" w14:paraId="28511BAF" w14:textId="77777777" w:rsidTr="00FB4815">
        <w:tc>
          <w:tcPr>
            <w:tcW w:w="6232" w:type="dxa"/>
          </w:tcPr>
          <w:p w14:paraId="5A52F395" w14:textId="77777777" w:rsidR="001267CE" w:rsidRDefault="001267CE" w:rsidP="00576F64">
            <w:pPr>
              <w:spacing w:line="276" w:lineRule="auto"/>
            </w:pPr>
            <w:r>
              <w:t xml:space="preserve">Disposable </w:t>
            </w:r>
            <w:proofErr w:type="spellStart"/>
            <w:r>
              <w:t>Chemoprotect</w:t>
            </w:r>
            <w:proofErr w:type="spellEnd"/>
            <w:r>
              <w:t xml:space="preserve"> Gown</w:t>
            </w:r>
          </w:p>
        </w:tc>
        <w:tc>
          <w:tcPr>
            <w:tcW w:w="2404" w:type="dxa"/>
          </w:tcPr>
          <w:p w14:paraId="3B5789E0" w14:textId="50EAB1C0" w:rsidR="001267CE" w:rsidRDefault="00FB4815" w:rsidP="00FB4815">
            <w:pPr>
              <w:spacing w:line="276" w:lineRule="auto"/>
              <w:jc w:val="center"/>
            </w:pPr>
            <w:r>
              <w:t>1</w:t>
            </w:r>
          </w:p>
        </w:tc>
      </w:tr>
      <w:tr w:rsidR="001267CE" w14:paraId="57154D1E" w14:textId="77777777" w:rsidTr="00FB4815">
        <w:tc>
          <w:tcPr>
            <w:tcW w:w="6232" w:type="dxa"/>
          </w:tcPr>
          <w:p w14:paraId="4A9FE316" w14:textId="77777777" w:rsidR="001267CE" w:rsidRDefault="001267CE" w:rsidP="001267CE">
            <w:r>
              <w:t>Disposable scoop</w:t>
            </w:r>
          </w:p>
        </w:tc>
        <w:tc>
          <w:tcPr>
            <w:tcW w:w="2404" w:type="dxa"/>
          </w:tcPr>
          <w:p w14:paraId="72D7AD03" w14:textId="44AD313C" w:rsidR="001267CE" w:rsidRDefault="009C07BC" w:rsidP="00FB4815">
            <w:pPr>
              <w:spacing w:line="276" w:lineRule="auto"/>
              <w:jc w:val="center"/>
            </w:pPr>
            <w:r>
              <w:t>1</w:t>
            </w:r>
          </w:p>
        </w:tc>
      </w:tr>
      <w:tr w:rsidR="001267CE" w14:paraId="13D79714" w14:textId="77777777" w:rsidTr="00FB4815">
        <w:tc>
          <w:tcPr>
            <w:tcW w:w="6232" w:type="dxa"/>
          </w:tcPr>
          <w:p w14:paraId="673C49A5" w14:textId="77777777" w:rsidR="001267CE" w:rsidRDefault="001267CE" w:rsidP="00576F64">
            <w:pPr>
              <w:spacing w:line="276" w:lineRule="auto"/>
            </w:pPr>
            <w:r>
              <w:t>Filtered face mask (FFP2 or FFP3)</w:t>
            </w:r>
          </w:p>
        </w:tc>
        <w:tc>
          <w:tcPr>
            <w:tcW w:w="2404" w:type="dxa"/>
          </w:tcPr>
          <w:p w14:paraId="0EE21F4D" w14:textId="0A113EA2" w:rsidR="001267CE" w:rsidRDefault="009C07BC" w:rsidP="00FB4815">
            <w:pPr>
              <w:spacing w:line="276" w:lineRule="auto"/>
              <w:jc w:val="center"/>
            </w:pPr>
            <w:r>
              <w:t>1</w:t>
            </w:r>
          </w:p>
        </w:tc>
      </w:tr>
      <w:tr w:rsidR="001267CE" w14:paraId="3C8C3315" w14:textId="77777777" w:rsidTr="00FB4815">
        <w:tc>
          <w:tcPr>
            <w:tcW w:w="6232" w:type="dxa"/>
          </w:tcPr>
          <w:p w14:paraId="50CBA664" w14:textId="77777777" w:rsidR="001267CE" w:rsidRDefault="001267CE" w:rsidP="00576F64">
            <w:pPr>
              <w:spacing w:line="276" w:lineRule="auto"/>
            </w:pPr>
            <w:r>
              <w:t>Nitrile Gloves</w:t>
            </w:r>
          </w:p>
        </w:tc>
        <w:tc>
          <w:tcPr>
            <w:tcW w:w="2404" w:type="dxa"/>
          </w:tcPr>
          <w:p w14:paraId="2FBB3926" w14:textId="27EDC508" w:rsidR="001267CE" w:rsidRDefault="009C07BC" w:rsidP="00FB4815">
            <w:pPr>
              <w:spacing w:line="276" w:lineRule="auto"/>
              <w:jc w:val="center"/>
            </w:pPr>
            <w:r>
              <w:t>2</w:t>
            </w:r>
            <w:r w:rsidR="00FB4815">
              <w:t xml:space="preserve"> pairs</w:t>
            </w:r>
          </w:p>
        </w:tc>
      </w:tr>
      <w:tr w:rsidR="001267CE" w14:paraId="4675B21F" w14:textId="77777777" w:rsidTr="00FB4815">
        <w:tc>
          <w:tcPr>
            <w:tcW w:w="6232" w:type="dxa"/>
          </w:tcPr>
          <w:p w14:paraId="69908305" w14:textId="77777777" w:rsidR="001267CE" w:rsidRDefault="001267CE" w:rsidP="001267CE">
            <w:r>
              <w:t>Overshoes</w:t>
            </w:r>
          </w:p>
        </w:tc>
        <w:tc>
          <w:tcPr>
            <w:tcW w:w="2404" w:type="dxa"/>
          </w:tcPr>
          <w:p w14:paraId="67FF4136" w14:textId="758B95F6" w:rsidR="001267CE" w:rsidRDefault="00FB4815" w:rsidP="00FB4815">
            <w:pPr>
              <w:spacing w:line="276" w:lineRule="auto"/>
              <w:jc w:val="center"/>
            </w:pPr>
            <w:r>
              <w:t>1</w:t>
            </w:r>
            <w:r w:rsidR="009C07BC">
              <w:t xml:space="preserve"> pair</w:t>
            </w:r>
          </w:p>
        </w:tc>
      </w:tr>
      <w:tr w:rsidR="001267CE" w14:paraId="16188C68" w14:textId="77777777" w:rsidTr="00FB4815">
        <w:tc>
          <w:tcPr>
            <w:tcW w:w="6232" w:type="dxa"/>
          </w:tcPr>
          <w:p w14:paraId="2C3F329E" w14:textId="77777777" w:rsidR="001267CE" w:rsidRDefault="001267CE" w:rsidP="001267CE">
            <w:r>
              <w:t>Plastic apron</w:t>
            </w:r>
          </w:p>
        </w:tc>
        <w:tc>
          <w:tcPr>
            <w:tcW w:w="2404" w:type="dxa"/>
          </w:tcPr>
          <w:p w14:paraId="0F85ABB2" w14:textId="5C45FCBD" w:rsidR="001267CE" w:rsidRDefault="00FB4815" w:rsidP="00FB4815">
            <w:pPr>
              <w:spacing w:line="276" w:lineRule="auto"/>
              <w:jc w:val="center"/>
            </w:pPr>
            <w:r>
              <w:t>1</w:t>
            </w:r>
          </w:p>
        </w:tc>
      </w:tr>
      <w:tr w:rsidR="001267CE" w14:paraId="2A6B4B32" w14:textId="77777777" w:rsidTr="00FB4815">
        <w:tc>
          <w:tcPr>
            <w:tcW w:w="6232" w:type="dxa"/>
          </w:tcPr>
          <w:p w14:paraId="46CF22DC" w14:textId="1B592000" w:rsidR="001267CE" w:rsidRDefault="001267CE" w:rsidP="001267CE">
            <w:pPr>
              <w:spacing w:line="276" w:lineRule="auto"/>
            </w:pPr>
            <w:r>
              <w:t xml:space="preserve">Safety goggles (BS EN 166) </w:t>
            </w:r>
          </w:p>
        </w:tc>
        <w:tc>
          <w:tcPr>
            <w:tcW w:w="2404" w:type="dxa"/>
          </w:tcPr>
          <w:p w14:paraId="13792ACA" w14:textId="4FC5C502" w:rsidR="001267CE" w:rsidRDefault="009C07BC" w:rsidP="00FB4815">
            <w:pPr>
              <w:spacing w:line="276" w:lineRule="auto"/>
              <w:jc w:val="center"/>
            </w:pPr>
            <w:r>
              <w:t>1</w:t>
            </w:r>
          </w:p>
        </w:tc>
      </w:tr>
      <w:tr w:rsidR="001267CE" w14:paraId="12918E2E" w14:textId="77777777" w:rsidTr="00FB4815">
        <w:tc>
          <w:tcPr>
            <w:tcW w:w="6232" w:type="dxa"/>
          </w:tcPr>
          <w:p w14:paraId="71307F66" w14:textId="1D0A38C7" w:rsidR="001267CE" w:rsidRDefault="00003766" w:rsidP="001267CE">
            <w:r>
              <w:t xml:space="preserve">Copy of SACT </w:t>
            </w:r>
            <w:r w:rsidR="001267CE">
              <w:t>Spillage SOP</w:t>
            </w:r>
          </w:p>
        </w:tc>
        <w:tc>
          <w:tcPr>
            <w:tcW w:w="2404" w:type="dxa"/>
          </w:tcPr>
          <w:p w14:paraId="6C945BC5" w14:textId="5C87168A" w:rsidR="001267CE" w:rsidRDefault="009C07BC" w:rsidP="00FB4815">
            <w:pPr>
              <w:spacing w:line="276" w:lineRule="auto"/>
              <w:jc w:val="center"/>
            </w:pPr>
            <w:r>
              <w:t>1</w:t>
            </w:r>
          </w:p>
        </w:tc>
      </w:tr>
    </w:tbl>
    <w:p w14:paraId="35DD7954" w14:textId="18FA9921" w:rsidR="00CC5952" w:rsidRDefault="00CC5952" w:rsidP="00576F64">
      <w:pPr>
        <w:spacing w:line="276" w:lineRule="auto"/>
      </w:pPr>
    </w:p>
    <w:p w14:paraId="60D156A3" w14:textId="57B296C8" w:rsidR="001267CE" w:rsidRDefault="001267CE" w:rsidP="00576F64">
      <w:pPr>
        <w:spacing w:line="276" w:lineRule="auto"/>
      </w:pPr>
    </w:p>
    <w:p w14:paraId="794F4A20" w14:textId="77777777" w:rsidR="001267CE" w:rsidRDefault="001267CE" w:rsidP="00576F64">
      <w:pPr>
        <w:spacing w:line="276" w:lineRule="auto"/>
      </w:pPr>
    </w:p>
    <w:p w14:paraId="058B4988" w14:textId="4CA5C8E3" w:rsidR="00CC5952" w:rsidRDefault="00193116" w:rsidP="00CC5952">
      <w:pPr>
        <w:pStyle w:val="Heading2"/>
        <w:spacing w:line="276" w:lineRule="auto"/>
      </w:pPr>
      <w:r>
        <w:t>Suggeste</w:t>
      </w:r>
      <w:r w:rsidR="00CC5952">
        <w:t>d Locations of Cytotoxic Spillage Kit</w:t>
      </w:r>
      <w:r>
        <w:t>s</w:t>
      </w:r>
    </w:p>
    <w:p w14:paraId="0DACFBA4" w14:textId="7CBF27BC" w:rsidR="00CC5952" w:rsidRDefault="00CC5952" w:rsidP="00CC5952">
      <w:r>
        <w:t xml:space="preserve">Haematology/Oncology Day ward x 2 </w:t>
      </w:r>
    </w:p>
    <w:p w14:paraId="4C6456E6" w14:textId="4A5C5545" w:rsidR="00CC5952" w:rsidRDefault="00CC5952" w:rsidP="00CC5952">
      <w:r>
        <w:t>Theatre x 1 (if administration of SACT is performed)</w:t>
      </w:r>
    </w:p>
    <w:p w14:paraId="35DF3704" w14:textId="13F2553D" w:rsidR="00CC5952" w:rsidRDefault="00CC5952" w:rsidP="00CC5952">
      <w:r>
        <w:t>In-patient ward x 2</w:t>
      </w:r>
    </w:p>
    <w:p w14:paraId="64E25F05" w14:textId="28003B91" w:rsidR="00CC5952" w:rsidRDefault="00CC5952" w:rsidP="00CC5952">
      <w:r>
        <w:t>Pharmacy delivery area x 1</w:t>
      </w:r>
    </w:p>
    <w:p w14:paraId="5DA112C8" w14:textId="404AA7A9" w:rsidR="00CC5952" w:rsidRDefault="00CC5952" w:rsidP="00CC5952">
      <w:r>
        <w:t>Pharmacy Aseptic Unit x 1</w:t>
      </w:r>
    </w:p>
    <w:p w14:paraId="7532510F" w14:textId="43D221BD" w:rsidR="00CC5952" w:rsidRPr="00CC5952" w:rsidRDefault="00CC5952" w:rsidP="00CC5952">
      <w:r>
        <w:t xml:space="preserve">Additional/spare kits </w:t>
      </w:r>
    </w:p>
    <w:p w14:paraId="0169E19F" w14:textId="77777777" w:rsidR="00CC5952" w:rsidRDefault="00CC5952" w:rsidP="00576F64">
      <w:pPr>
        <w:spacing w:line="276" w:lineRule="auto"/>
      </w:pPr>
    </w:p>
    <w:sectPr w:rsidR="00CC5952" w:rsidSect="00F53ECD">
      <w:headerReference w:type="even" r:id="rId12"/>
      <w:headerReference w:type="default" r:id="rId13"/>
      <w:footerReference w:type="even" r:id="rId14"/>
      <w:footerReference w:type="default" r:id="rId15"/>
      <w:headerReference w:type="first" r:id="rId16"/>
      <w:footerReference w:type="first" r:id="rId17"/>
      <w:pgSz w:w="12240" w:h="15840"/>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EC33" w14:textId="77777777" w:rsidR="00152D3A" w:rsidRDefault="00152D3A">
      <w:r>
        <w:separator/>
      </w:r>
    </w:p>
  </w:endnote>
  <w:endnote w:type="continuationSeparator" w:id="0">
    <w:p w14:paraId="36F8011F" w14:textId="77777777" w:rsidR="00152D3A" w:rsidRDefault="00152D3A">
      <w:r>
        <w:continuationSeparator/>
      </w:r>
    </w:p>
  </w:endnote>
  <w:endnote w:type="continuationNotice" w:id="1">
    <w:p w14:paraId="06B0A62B" w14:textId="77777777" w:rsidR="00152D3A" w:rsidRDefault="00152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17E3" w14:textId="77777777" w:rsidR="002C53D6" w:rsidRDefault="002C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3CEE" w14:textId="77777777" w:rsidR="00152D3A" w:rsidRDefault="00152D3A"/>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3685"/>
      <w:gridCol w:w="2977"/>
    </w:tblGrid>
    <w:tr w:rsidR="00152D3A" w:rsidRPr="00C71E05" w14:paraId="73BCC888" w14:textId="77777777" w:rsidTr="00DE1086">
      <w:trPr>
        <w:trHeight w:val="269"/>
      </w:trPr>
      <w:tc>
        <w:tcPr>
          <w:tcW w:w="10774" w:type="dxa"/>
          <w:gridSpan w:val="3"/>
          <w:tcBorders>
            <w:top w:val="single" w:sz="4" w:space="0" w:color="auto"/>
            <w:left w:val="single" w:sz="4" w:space="0" w:color="auto"/>
            <w:bottom w:val="single" w:sz="4" w:space="0" w:color="auto"/>
            <w:right w:val="single" w:sz="4" w:space="0" w:color="auto"/>
          </w:tcBorders>
        </w:tcPr>
        <w:p w14:paraId="65D13360" w14:textId="77777777" w:rsidR="00152D3A" w:rsidRPr="00DE1086" w:rsidRDefault="00152D3A" w:rsidP="008A68DE">
          <w:pPr>
            <w:pStyle w:val="Footer"/>
            <w:rPr>
              <w:rFonts w:asciiTheme="minorHAnsi" w:hAnsiTheme="minorHAnsi"/>
              <w:i/>
              <w:iCs/>
              <w:sz w:val="16"/>
              <w:szCs w:val="16"/>
            </w:rPr>
          </w:pPr>
          <w:r>
            <w:rPr>
              <w:rFonts w:asciiTheme="minorHAnsi" w:hAnsiTheme="minorHAnsi"/>
              <w:sz w:val="16"/>
              <w:szCs w:val="16"/>
            </w:rPr>
            <w:t>U</w:t>
          </w:r>
          <w:r w:rsidRPr="00DE1086">
            <w:rPr>
              <w:rFonts w:asciiTheme="minorHAnsi" w:hAnsiTheme="minorHAnsi"/>
              <w:sz w:val="16"/>
              <w:szCs w:val="16"/>
            </w:rPr>
            <w:t>se of th</w:t>
          </w:r>
          <w:r>
            <w:rPr>
              <w:rFonts w:asciiTheme="minorHAnsi" w:hAnsiTheme="minorHAnsi"/>
              <w:sz w:val="16"/>
              <w:szCs w:val="16"/>
            </w:rPr>
            <w:t>is</w:t>
          </w:r>
          <w:r w:rsidRPr="00DE1086">
            <w:rPr>
              <w:rFonts w:asciiTheme="minorHAnsi" w:hAnsiTheme="minorHAnsi"/>
              <w:sz w:val="16"/>
              <w:szCs w:val="16"/>
            </w:rPr>
            <w:t xml:space="preserve"> document is the responsib</w:t>
          </w:r>
          <w:r>
            <w:rPr>
              <w:rFonts w:asciiTheme="minorHAnsi" w:hAnsiTheme="minorHAnsi"/>
              <w:sz w:val="16"/>
              <w:szCs w:val="16"/>
            </w:rPr>
            <w:t>i</w:t>
          </w:r>
          <w:r w:rsidRPr="00DE1086">
            <w:rPr>
              <w:rFonts w:asciiTheme="minorHAnsi" w:hAnsiTheme="minorHAnsi"/>
              <w:sz w:val="16"/>
              <w:szCs w:val="16"/>
            </w:rPr>
            <w:t>l</w:t>
          </w:r>
          <w:r>
            <w:rPr>
              <w:rFonts w:asciiTheme="minorHAnsi" w:hAnsiTheme="minorHAnsi"/>
              <w:sz w:val="16"/>
              <w:szCs w:val="16"/>
            </w:rPr>
            <w:t>it</w:t>
          </w:r>
          <w:r w:rsidRPr="00DE1086">
            <w:rPr>
              <w:rFonts w:asciiTheme="minorHAnsi" w:hAnsiTheme="minorHAnsi"/>
              <w:sz w:val="16"/>
              <w:szCs w:val="16"/>
            </w:rPr>
            <w:t xml:space="preserve">y of the </w:t>
          </w:r>
          <w:r>
            <w:rPr>
              <w:rFonts w:asciiTheme="minorHAnsi" w:hAnsiTheme="minorHAnsi"/>
              <w:sz w:val="16"/>
              <w:szCs w:val="16"/>
            </w:rPr>
            <w:t>user</w:t>
          </w:r>
          <w:r w:rsidRPr="00DE1086">
            <w:rPr>
              <w:rFonts w:asciiTheme="minorHAnsi" w:hAnsiTheme="minorHAnsi"/>
              <w:sz w:val="16"/>
              <w:szCs w:val="16"/>
            </w:rPr>
            <w:t xml:space="preserve"> and is subject to HSE’s terms of use available at </w:t>
          </w:r>
          <w:hyperlink r:id="rId1" w:history="1">
            <w:r w:rsidRPr="00DE1086">
              <w:rPr>
                <w:rStyle w:val="Hyperlink"/>
                <w:rFonts w:asciiTheme="minorHAnsi" w:hAnsiTheme="minorHAnsi"/>
                <w:sz w:val="16"/>
                <w:szCs w:val="16"/>
              </w:rPr>
              <w:t>http://www.hse.ie/eng/Disclaimer</w:t>
            </w:r>
          </w:hyperlink>
          <w:r w:rsidRPr="00DE1086">
            <w:rPr>
              <w:rFonts w:asciiTheme="minorHAnsi" w:hAnsiTheme="minorHAnsi"/>
              <w:sz w:val="16"/>
              <w:szCs w:val="16"/>
            </w:rPr>
            <w:t xml:space="preserve"> </w:t>
          </w:r>
        </w:p>
        <w:p w14:paraId="25ACDD91" w14:textId="77777777" w:rsidR="00152D3A" w:rsidRPr="00DE1086" w:rsidRDefault="00152D3A" w:rsidP="00E0526A">
          <w:pPr>
            <w:pStyle w:val="Footer"/>
            <w:rPr>
              <w:rFonts w:asciiTheme="minorHAnsi" w:hAnsiTheme="minorHAnsi"/>
            </w:rPr>
          </w:pPr>
          <w:r w:rsidRPr="00DE1086">
            <w:rPr>
              <w:rFonts w:asciiTheme="minorHAnsi" w:hAnsiTheme="minorHAnsi"/>
              <w:i/>
              <w:iCs/>
              <w:sz w:val="16"/>
              <w:szCs w:val="16"/>
            </w:rPr>
            <w:t>This information is valid only on the day of printing, for any updates please check</w:t>
          </w:r>
          <w:r w:rsidRPr="00C372C3">
            <w:rPr>
              <w:rFonts w:asciiTheme="minorHAnsi" w:hAnsiTheme="minorHAnsi"/>
              <w:i/>
              <w:iCs/>
              <w:sz w:val="14"/>
              <w:szCs w:val="16"/>
            </w:rPr>
            <w:t xml:space="preserve"> </w:t>
          </w:r>
          <w:hyperlink r:id="rId2" w:history="1">
            <w:r w:rsidRPr="00E0526A">
              <w:rPr>
                <w:rStyle w:val="Hyperlink"/>
                <w:rFonts w:asciiTheme="minorHAnsi" w:hAnsiTheme="minorHAnsi"/>
                <w:sz w:val="16"/>
                <w:szCs w:val="16"/>
              </w:rPr>
              <w:t>https://www.hse.ie/eng/services/list/5/cancer/profinfo/medonc/sactguidance/</w:t>
            </w:r>
          </w:hyperlink>
          <w:r>
            <w:rPr>
              <w:rFonts w:asciiTheme="minorHAnsi" w:hAnsiTheme="minorHAnsi"/>
              <w:i/>
              <w:iCs/>
              <w:sz w:val="14"/>
              <w:szCs w:val="16"/>
            </w:rPr>
            <w:t xml:space="preserve"> </w:t>
          </w:r>
        </w:p>
      </w:tc>
    </w:tr>
    <w:tr w:rsidR="00152D3A" w:rsidRPr="00C71E05" w14:paraId="21636DA1" w14:textId="77777777" w:rsidTr="00BC2533">
      <w:trPr>
        <w:trHeight w:val="411"/>
      </w:trPr>
      <w:tc>
        <w:tcPr>
          <w:tcW w:w="4112" w:type="dxa"/>
          <w:tcBorders>
            <w:top w:val="single" w:sz="4" w:space="0" w:color="auto"/>
            <w:left w:val="single" w:sz="4" w:space="0" w:color="auto"/>
            <w:bottom w:val="single" w:sz="4" w:space="0" w:color="auto"/>
            <w:right w:val="single" w:sz="4" w:space="0" w:color="auto"/>
          </w:tcBorders>
          <w:hideMark/>
        </w:tcPr>
        <w:p w14:paraId="7C1604BD" w14:textId="77777777" w:rsidR="00AC5D1D" w:rsidRDefault="00152D3A" w:rsidP="00AC5D1D">
          <w:pPr>
            <w:pStyle w:val="Footer"/>
            <w:rPr>
              <w:rFonts w:ascii="Calibri" w:hAnsi="Calibri"/>
              <w:sz w:val="20"/>
              <w:szCs w:val="20"/>
            </w:rPr>
          </w:pPr>
          <w:r w:rsidRPr="00C71E05">
            <w:rPr>
              <w:rFonts w:ascii="Calibri" w:hAnsi="Calibri"/>
              <w:sz w:val="20"/>
              <w:szCs w:val="20"/>
            </w:rPr>
            <w:t xml:space="preserve">NCCP </w:t>
          </w:r>
          <w:r w:rsidR="00AC5D1D">
            <w:rPr>
              <w:rFonts w:ascii="Calibri" w:hAnsi="Calibri"/>
              <w:sz w:val="20"/>
              <w:szCs w:val="20"/>
            </w:rPr>
            <w:t>Template SOP</w:t>
          </w:r>
        </w:p>
        <w:p w14:paraId="2C6606D6" w14:textId="7D784029" w:rsidR="00152D3A" w:rsidRPr="00C71E05" w:rsidRDefault="00AC5D1D" w:rsidP="00AC5D1D">
          <w:pPr>
            <w:pStyle w:val="Footer"/>
            <w:rPr>
              <w:rFonts w:ascii="Calibri" w:hAnsi="Calibri"/>
              <w:sz w:val="20"/>
              <w:szCs w:val="20"/>
            </w:rPr>
          </w:pPr>
          <w:r>
            <w:rPr>
              <w:rFonts w:ascii="Calibri" w:hAnsi="Calibri"/>
              <w:sz w:val="20"/>
              <w:szCs w:val="20"/>
            </w:rPr>
            <w:t>SACT Spillage SOP107</w:t>
          </w:r>
        </w:p>
      </w:tc>
      <w:tc>
        <w:tcPr>
          <w:tcW w:w="3685" w:type="dxa"/>
          <w:tcBorders>
            <w:top w:val="single" w:sz="4" w:space="0" w:color="auto"/>
            <w:left w:val="single" w:sz="4" w:space="0" w:color="auto"/>
            <w:bottom w:val="single" w:sz="4" w:space="0" w:color="auto"/>
            <w:right w:val="single" w:sz="4" w:space="0" w:color="auto"/>
          </w:tcBorders>
          <w:hideMark/>
        </w:tcPr>
        <w:p w14:paraId="61211C47" w14:textId="2B0F83A8" w:rsidR="00152D3A" w:rsidRPr="00137E2E" w:rsidRDefault="00152D3A" w:rsidP="004510D1">
          <w:pPr>
            <w:pStyle w:val="Footer"/>
            <w:rPr>
              <w:rFonts w:ascii="Calibri" w:hAnsi="Calibri"/>
              <w:sz w:val="20"/>
              <w:szCs w:val="20"/>
            </w:rPr>
          </w:pPr>
          <w:r w:rsidRPr="00137E2E">
            <w:rPr>
              <w:rFonts w:ascii="Calibri" w:hAnsi="Calibri"/>
              <w:sz w:val="20"/>
              <w:szCs w:val="20"/>
            </w:rPr>
            <w:t xml:space="preserve">Published: </w:t>
          </w:r>
          <w:r w:rsidR="00137E2E" w:rsidRPr="00137E2E">
            <w:rPr>
              <w:rFonts w:ascii="Calibri" w:hAnsi="Calibri"/>
              <w:sz w:val="20"/>
              <w:szCs w:val="20"/>
            </w:rPr>
            <w:t>30</w:t>
          </w:r>
          <w:r w:rsidR="00F93F53" w:rsidRPr="00137E2E">
            <w:rPr>
              <w:rFonts w:ascii="Calibri" w:hAnsi="Calibri"/>
              <w:sz w:val="20"/>
              <w:szCs w:val="20"/>
            </w:rPr>
            <w:t>/</w:t>
          </w:r>
          <w:r w:rsidR="00137E2E" w:rsidRPr="00137E2E">
            <w:rPr>
              <w:rFonts w:ascii="Calibri" w:hAnsi="Calibri"/>
              <w:sz w:val="20"/>
              <w:szCs w:val="20"/>
            </w:rPr>
            <w:t>11</w:t>
          </w:r>
          <w:r w:rsidR="00AC5D1D" w:rsidRPr="00137E2E">
            <w:rPr>
              <w:rFonts w:ascii="Calibri" w:hAnsi="Calibri"/>
              <w:sz w:val="20"/>
              <w:szCs w:val="20"/>
            </w:rPr>
            <w:t>/2021</w:t>
          </w:r>
        </w:p>
        <w:p w14:paraId="4E46B625" w14:textId="4EFB8F6F" w:rsidR="00152D3A" w:rsidRPr="00C71E05" w:rsidRDefault="00152D3A" w:rsidP="00137E2E">
          <w:pPr>
            <w:pStyle w:val="Footer"/>
            <w:rPr>
              <w:rFonts w:ascii="Calibri" w:hAnsi="Calibri"/>
              <w:sz w:val="20"/>
              <w:szCs w:val="20"/>
            </w:rPr>
          </w:pPr>
          <w:r w:rsidRPr="00137E2E">
            <w:rPr>
              <w:rFonts w:ascii="Calibri" w:hAnsi="Calibr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9C687EE" w14:textId="23BA7CE1" w:rsidR="00152D3A" w:rsidRPr="00C71E05" w:rsidRDefault="00152D3A" w:rsidP="004510D1">
          <w:pPr>
            <w:pStyle w:val="Footer"/>
            <w:rPr>
              <w:rFonts w:ascii="Calibri" w:hAnsi="Calibri"/>
              <w:sz w:val="20"/>
              <w:szCs w:val="20"/>
            </w:rPr>
          </w:pPr>
          <w:r w:rsidRPr="00C71E05">
            <w:rPr>
              <w:rFonts w:ascii="Calibri" w:hAnsi="Calibri"/>
              <w:sz w:val="20"/>
              <w:szCs w:val="20"/>
            </w:rPr>
            <w:t xml:space="preserve">Version: </w:t>
          </w:r>
          <w:r w:rsidR="00137E2E" w:rsidRPr="00137E2E">
            <w:rPr>
              <w:rFonts w:ascii="Calibri" w:hAnsi="Calibri"/>
              <w:sz w:val="20"/>
              <w:szCs w:val="20"/>
            </w:rPr>
            <w:t>1</w:t>
          </w:r>
          <w:r w:rsidR="002C53D6">
            <w:rPr>
              <w:rFonts w:ascii="Calibri" w:hAnsi="Calibri"/>
              <w:sz w:val="20"/>
              <w:szCs w:val="20"/>
            </w:rPr>
            <w:t>b</w:t>
          </w:r>
        </w:p>
        <w:p w14:paraId="20596AD0" w14:textId="77777777" w:rsidR="00152D3A" w:rsidRPr="00C71E05" w:rsidRDefault="00152D3A" w:rsidP="004510D1">
          <w:pPr>
            <w:pStyle w:val="Footer"/>
            <w:rPr>
              <w:rFonts w:ascii="Calibri" w:hAnsi="Calibri"/>
              <w:sz w:val="20"/>
              <w:szCs w:val="20"/>
            </w:rPr>
          </w:pPr>
        </w:p>
      </w:tc>
    </w:tr>
  </w:tbl>
  <w:p w14:paraId="7E717893" w14:textId="57B69FAA" w:rsidR="00152D3A" w:rsidRPr="004510D1" w:rsidRDefault="00152D3A" w:rsidP="003C23BD">
    <w:pPr>
      <w:pStyle w:val="Footer"/>
      <w:rPr>
        <w:rFonts w:ascii="Calibri" w:hAnsi="Calibri"/>
        <w:sz w:val="20"/>
        <w:szCs w:val="20"/>
      </w:rPr>
    </w:pPr>
    <w:r>
      <w:rPr>
        <w:rFonts w:ascii="Calibri" w:hAnsi="Calibri" w:cs="Arial"/>
        <w:sz w:val="20"/>
        <w:szCs w:val="20"/>
      </w:rPr>
      <w:tab/>
    </w:r>
    <w:r w:rsidRPr="004510D1">
      <w:rPr>
        <w:rFonts w:ascii="Calibri" w:hAnsi="Calibri" w:cs="Arial"/>
        <w:sz w:val="20"/>
        <w:szCs w:val="20"/>
      </w:rPr>
      <w:tab/>
    </w:r>
    <w:r w:rsidRPr="004510D1">
      <w:rPr>
        <w:rFonts w:ascii="Calibri" w:hAnsi="Calibri"/>
        <w:sz w:val="20"/>
        <w:szCs w:val="20"/>
      </w:rPr>
      <w:t xml:space="preserve">Page </w:t>
    </w:r>
    <w:r w:rsidRPr="004510D1">
      <w:rPr>
        <w:rFonts w:ascii="Calibri" w:hAnsi="Calibri"/>
        <w:bCs/>
        <w:sz w:val="20"/>
        <w:szCs w:val="20"/>
      </w:rPr>
      <w:fldChar w:fldCharType="begin"/>
    </w:r>
    <w:r w:rsidRPr="004510D1">
      <w:rPr>
        <w:rFonts w:ascii="Calibri" w:hAnsi="Calibri"/>
        <w:bCs/>
        <w:sz w:val="20"/>
        <w:szCs w:val="20"/>
      </w:rPr>
      <w:instrText xml:space="preserve"> PAGE </w:instrText>
    </w:r>
    <w:r w:rsidRPr="004510D1">
      <w:rPr>
        <w:rFonts w:ascii="Calibri" w:hAnsi="Calibri"/>
        <w:bCs/>
        <w:sz w:val="20"/>
        <w:szCs w:val="20"/>
      </w:rPr>
      <w:fldChar w:fldCharType="separate"/>
    </w:r>
    <w:r w:rsidR="005563B9">
      <w:rPr>
        <w:rFonts w:ascii="Calibri" w:hAnsi="Calibri"/>
        <w:bCs/>
        <w:noProof/>
        <w:sz w:val="20"/>
        <w:szCs w:val="20"/>
      </w:rPr>
      <w:t>3</w:t>
    </w:r>
    <w:r w:rsidRPr="004510D1">
      <w:rPr>
        <w:rFonts w:ascii="Calibri" w:hAnsi="Calibri"/>
        <w:bCs/>
        <w:sz w:val="20"/>
        <w:szCs w:val="20"/>
      </w:rPr>
      <w:fldChar w:fldCharType="end"/>
    </w:r>
    <w:r w:rsidRPr="004510D1">
      <w:rPr>
        <w:rFonts w:ascii="Calibri" w:hAnsi="Calibri"/>
        <w:sz w:val="20"/>
        <w:szCs w:val="20"/>
      </w:rPr>
      <w:t xml:space="preserve"> of </w:t>
    </w:r>
    <w:r w:rsidRPr="004510D1">
      <w:rPr>
        <w:rFonts w:ascii="Calibri" w:hAnsi="Calibri"/>
        <w:bCs/>
        <w:sz w:val="20"/>
        <w:szCs w:val="20"/>
      </w:rPr>
      <w:fldChar w:fldCharType="begin"/>
    </w:r>
    <w:r w:rsidRPr="004510D1">
      <w:rPr>
        <w:rFonts w:ascii="Calibri" w:hAnsi="Calibri"/>
        <w:bCs/>
        <w:sz w:val="20"/>
        <w:szCs w:val="20"/>
      </w:rPr>
      <w:instrText xml:space="preserve"> NUMPAGES  </w:instrText>
    </w:r>
    <w:r w:rsidRPr="004510D1">
      <w:rPr>
        <w:rFonts w:ascii="Calibri" w:hAnsi="Calibri"/>
        <w:bCs/>
        <w:sz w:val="20"/>
        <w:szCs w:val="20"/>
      </w:rPr>
      <w:fldChar w:fldCharType="separate"/>
    </w:r>
    <w:r w:rsidR="005563B9">
      <w:rPr>
        <w:rFonts w:ascii="Calibri" w:hAnsi="Calibri"/>
        <w:bCs/>
        <w:noProof/>
        <w:sz w:val="20"/>
        <w:szCs w:val="20"/>
      </w:rPr>
      <w:t>9</w:t>
    </w:r>
    <w:r w:rsidRPr="004510D1">
      <w:rPr>
        <w:rFonts w:ascii="Calibri" w:hAnsi="Calibri"/>
        <w:bCs/>
        <w:sz w:val="20"/>
        <w:szCs w:val="20"/>
      </w:rPr>
      <w:fldChar w:fldCharType="end"/>
    </w:r>
  </w:p>
  <w:p w14:paraId="622B9D5B" w14:textId="77777777" w:rsidR="00152D3A" w:rsidRPr="004510D1" w:rsidRDefault="00152D3A">
    <w:pPr>
      <w:pStyle w:val="Footer"/>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5DF9" w14:textId="77777777" w:rsidR="002C53D6" w:rsidRDefault="002C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65CD" w14:textId="77777777" w:rsidR="00152D3A" w:rsidRDefault="00152D3A">
      <w:r>
        <w:separator/>
      </w:r>
    </w:p>
  </w:footnote>
  <w:footnote w:type="continuationSeparator" w:id="0">
    <w:p w14:paraId="55431520" w14:textId="77777777" w:rsidR="00152D3A" w:rsidRDefault="00152D3A">
      <w:r>
        <w:continuationSeparator/>
      </w:r>
    </w:p>
  </w:footnote>
  <w:footnote w:type="continuationNotice" w:id="1">
    <w:p w14:paraId="30E1C409" w14:textId="77777777" w:rsidR="00152D3A" w:rsidRDefault="00152D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3EA68" w14:textId="77777777" w:rsidR="002C53D6" w:rsidRDefault="002C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F128" w14:textId="504E8757" w:rsidR="00152D3A" w:rsidRPr="00713BB5" w:rsidRDefault="00152D3A" w:rsidP="00713BB5">
    <w:pPr>
      <w:rPr>
        <w:rFonts w:ascii="Calibri" w:hAnsi="Calibri" w:cs="Arial"/>
        <w:sz w:val="22"/>
      </w:rPr>
    </w:pPr>
    <w:r w:rsidRPr="00713BB5">
      <w:rPr>
        <w:rFonts w:ascii="Calibri" w:hAnsi="Calibri" w:cs="Arial"/>
        <w:sz w:val="22"/>
      </w:rPr>
      <w:t xml:space="preserve">NCCP </w:t>
    </w:r>
    <w:r w:rsidR="00AC5D1D">
      <w:rPr>
        <w:rFonts w:ascii="Calibri" w:hAnsi="Calibri" w:cs="Arial"/>
        <w:sz w:val="22"/>
      </w:rPr>
      <w:t>Template</w:t>
    </w:r>
    <w:r w:rsidRPr="00713BB5">
      <w:rPr>
        <w:rFonts w:ascii="Calibri" w:hAnsi="Calibri" w:cs="Arial"/>
        <w:sz w:val="22"/>
      </w:rPr>
      <w:t xml:space="preserve"> </w:t>
    </w:r>
    <w:r w:rsidR="00090828">
      <w:rPr>
        <w:rFonts w:ascii="Calibri" w:hAnsi="Calibri" w:cs="Arial"/>
        <w:sz w:val="22"/>
      </w:rPr>
      <w:t>SOP107</w:t>
    </w:r>
    <w:r>
      <w:rPr>
        <w:rFonts w:ascii="Calibri" w:hAnsi="Calibri" w:cs="Arial"/>
        <w:sz w:val="22"/>
      </w:rPr>
      <w:t xml:space="preserve"> </w:t>
    </w:r>
    <w:r w:rsidR="00090828">
      <w:rPr>
        <w:rFonts w:ascii="Calibri" w:hAnsi="Calibri" w:cs="Arial"/>
        <w:sz w:val="22"/>
      </w:rPr>
      <w:t>– SACT Spillages</w:t>
    </w:r>
    <w:r>
      <w:rPr>
        <w:rFonts w:ascii="Calibri" w:hAnsi="Calibri" w:cs="Arial"/>
        <w:sz w:val="22"/>
      </w:rPr>
      <w:t>│V</w:t>
    </w:r>
    <w:r w:rsidR="00F93F53" w:rsidRPr="00137E2E">
      <w:rPr>
        <w:rFonts w:ascii="Calibri" w:hAnsi="Calibri" w:cs="Arial"/>
        <w:sz w:val="22"/>
      </w:rPr>
      <w:t>1</w:t>
    </w:r>
    <w:r w:rsidR="002C53D6">
      <w:rPr>
        <w:rFonts w:ascii="Calibri" w:hAnsi="Calibri" w:cs="Arial"/>
        <w:sz w:val="22"/>
      </w:rPr>
      <w:t>b</w:t>
    </w:r>
    <w:r>
      <w:rPr>
        <w:rFonts w:ascii="Calibri" w:hAnsi="Calibri" w:cs="Arial"/>
        <w:sz w:val="22"/>
      </w:rPr>
      <w:t xml:space="preserve"> │</w:t>
    </w:r>
    <w:r w:rsidR="00AC5D1D">
      <w:rPr>
        <w:rFonts w:ascii="Calibri" w:hAnsi="Calibri" w:cs="Arial"/>
        <w:sz w:val="22"/>
      </w:rPr>
      <w:t>202</w:t>
    </w:r>
    <w:r w:rsidR="001977E9">
      <w:rPr>
        <w:rFonts w:ascii="Calibri" w:hAnsi="Calibri" w:cs="Arial"/>
        <w:sz w:val="22"/>
      </w:rPr>
      <w:t>3</w:t>
    </w:r>
  </w:p>
  <w:p w14:paraId="521178ED" w14:textId="77777777" w:rsidR="00152D3A" w:rsidRDefault="00152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C6F5" w14:textId="77777777" w:rsidR="002C53D6" w:rsidRDefault="002C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0F1"/>
    <w:multiLevelType w:val="hybridMultilevel"/>
    <w:tmpl w:val="CA20D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AD21D6"/>
    <w:multiLevelType w:val="hybridMultilevel"/>
    <w:tmpl w:val="77CC300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C303E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DAA69C0"/>
    <w:multiLevelType w:val="hybridMultilevel"/>
    <w:tmpl w:val="5116290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C8769B"/>
    <w:multiLevelType w:val="hybridMultilevel"/>
    <w:tmpl w:val="EEB42D54"/>
    <w:lvl w:ilvl="0" w:tplc="A1B411C6">
      <w:start w:val="1"/>
      <w:numFmt w:val="bullet"/>
      <w:lvlText w:val=""/>
      <w:lvlJc w:val="left"/>
      <w:pPr>
        <w:tabs>
          <w:tab w:val="num" w:pos="1077"/>
        </w:tabs>
        <w:ind w:left="1077" w:hanging="51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5" w15:restartNumberingAfterBreak="0">
    <w:nsid w:val="161563A8"/>
    <w:multiLevelType w:val="hybridMultilevel"/>
    <w:tmpl w:val="5C300A7C"/>
    <w:lvl w:ilvl="0" w:tplc="7A2C8B16">
      <w:start w:val="1"/>
      <w:numFmt w:val="decimal"/>
      <w:lvlText w:val="%1."/>
      <w:lvlJc w:val="left"/>
      <w:pPr>
        <w:ind w:left="720" w:hanging="360"/>
      </w:pPr>
      <w:rPr>
        <w:rFonts w:ascii="Calibri" w:hAnsi="Calibri"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464AD0"/>
    <w:multiLevelType w:val="hybridMultilevel"/>
    <w:tmpl w:val="F710C65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A2775AB"/>
    <w:multiLevelType w:val="hybridMultilevel"/>
    <w:tmpl w:val="CD48C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9B3DE7"/>
    <w:multiLevelType w:val="hybridMultilevel"/>
    <w:tmpl w:val="0EF65AB4"/>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936B9E"/>
    <w:multiLevelType w:val="hybridMultilevel"/>
    <w:tmpl w:val="97E25D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BC027D"/>
    <w:multiLevelType w:val="hybridMultilevel"/>
    <w:tmpl w:val="3B6E4F3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012FC8"/>
    <w:multiLevelType w:val="hybridMultilevel"/>
    <w:tmpl w:val="C78E1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6E0846"/>
    <w:multiLevelType w:val="hybridMultilevel"/>
    <w:tmpl w:val="EC5AF2E2"/>
    <w:lvl w:ilvl="0" w:tplc="A76AF770">
      <w:start w:val="1"/>
      <w:numFmt w:val="decimal"/>
      <w:pStyle w:val="Heading1-Appendix"/>
      <w:lvlText w:val="Appendix %1."/>
      <w:lvlJc w:val="left"/>
      <w:pPr>
        <w:ind w:left="720" w:hanging="360"/>
      </w:pPr>
      <w:rPr>
        <w:rFonts w:hint="default"/>
      </w:rPr>
    </w:lvl>
    <w:lvl w:ilvl="1" w:tplc="FAECF70C">
      <w:start w:val="1"/>
      <w:numFmt w:val="bullet"/>
      <w:lvlText w:val=""/>
      <w:lvlJc w:val="left"/>
      <w:pPr>
        <w:tabs>
          <w:tab w:val="num" w:pos="1440"/>
        </w:tabs>
        <w:ind w:left="1440" w:hanging="360"/>
      </w:pPr>
      <w:rPr>
        <w:rFonts w:ascii="Symbol" w:hAnsi="Symbol" w:hint="default"/>
        <w:color w:val="auto"/>
        <w:sz w:val="22"/>
        <w:szCs w:val="22"/>
      </w:rPr>
    </w:lvl>
    <w:lvl w:ilvl="2" w:tplc="0409000F">
      <w:start w:val="1"/>
      <w:numFmt w:val="decimal"/>
      <w:lvlText w:val="%3."/>
      <w:lvlJc w:val="left"/>
      <w:pPr>
        <w:tabs>
          <w:tab w:val="num" w:pos="2340"/>
        </w:tabs>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2845BBE"/>
    <w:multiLevelType w:val="hybridMultilevel"/>
    <w:tmpl w:val="6AC47F8C"/>
    <w:lvl w:ilvl="0" w:tplc="C4C8B8A0">
      <w:start w:val="1"/>
      <w:numFmt w:val="decimal"/>
      <w:lvlText w:val="%1."/>
      <w:lvlJc w:val="left"/>
      <w:pPr>
        <w:ind w:left="454" w:hanging="312"/>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37A48B8"/>
    <w:multiLevelType w:val="hybridMultilevel"/>
    <w:tmpl w:val="FC6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241C06DA"/>
    <w:multiLevelType w:val="hybridMultilevel"/>
    <w:tmpl w:val="134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C53556"/>
    <w:multiLevelType w:val="hybridMultilevel"/>
    <w:tmpl w:val="83E8FA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5FA22C1"/>
    <w:multiLevelType w:val="hybridMultilevel"/>
    <w:tmpl w:val="7B0626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62462C0"/>
    <w:multiLevelType w:val="hybridMultilevel"/>
    <w:tmpl w:val="4B821762"/>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19" w15:restartNumberingAfterBreak="0">
    <w:nsid w:val="29002FB2"/>
    <w:multiLevelType w:val="hybridMultilevel"/>
    <w:tmpl w:val="7DC0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B0632C8"/>
    <w:multiLevelType w:val="hybridMultilevel"/>
    <w:tmpl w:val="B2BA3B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A90E9B"/>
    <w:multiLevelType w:val="hybridMultilevel"/>
    <w:tmpl w:val="0E007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23794D"/>
    <w:multiLevelType w:val="multilevel"/>
    <w:tmpl w:val="0409001F"/>
    <w:numStyleLink w:val="111111"/>
  </w:abstractNum>
  <w:abstractNum w:abstractNumId="23" w15:restartNumberingAfterBreak="0">
    <w:nsid w:val="3A51044B"/>
    <w:multiLevelType w:val="hybridMultilevel"/>
    <w:tmpl w:val="DF766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020104"/>
    <w:multiLevelType w:val="hybridMultilevel"/>
    <w:tmpl w:val="503690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C9969A3"/>
    <w:multiLevelType w:val="hybridMultilevel"/>
    <w:tmpl w:val="D098D2C0"/>
    <w:lvl w:ilvl="0" w:tplc="0409000B">
      <w:start w:val="1"/>
      <w:numFmt w:val="bullet"/>
      <w:lvlText w:val=""/>
      <w:lvlJc w:val="left"/>
      <w:pPr>
        <w:tabs>
          <w:tab w:val="num" w:pos="720"/>
        </w:tabs>
        <w:ind w:left="720" w:hanging="360"/>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A64A6"/>
    <w:multiLevelType w:val="hybridMultilevel"/>
    <w:tmpl w:val="22E03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9663AE"/>
    <w:multiLevelType w:val="hybridMultilevel"/>
    <w:tmpl w:val="48487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FB62A4"/>
    <w:multiLevelType w:val="multilevel"/>
    <w:tmpl w:val="D01EB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582E54"/>
    <w:multiLevelType w:val="hybridMultilevel"/>
    <w:tmpl w:val="27344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041967"/>
    <w:multiLevelType w:val="hybridMultilevel"/>
    <w:tmpl w:val="9654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B73180"/>
    <w:multiLevelType w:val="hybridMultilevel"/>
    <w:tmpl w:val="6CBA849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27E7BF3"/>
    <w:multiLevelType w:val="hybridMultilevel"/>
    <w:tmpl w:val="8500F5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DA46EB"/>
    <w:multiLevelType w:val="hybridMultilevel"/>
    <w:tmpl w:val="4212133E"/>
    <w:lvl w:ilvl="0" w:tplc="056A2F4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E6E7433"/>
    <w:multiLevelType w:val="hybridMultilevel"/>
    <w:tmpl w:val="85F0DD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Symbol" w:hAnsi="Symbol" w:hint="default"/>
      </w:rPr>
    </w:lvl>
  </w:abstractNum>
  <w:abstractNum w:abstractNumId="35" w15:restartNumberingAfterBreak="0">
    <w:nsid w:val="62E36AEC"/>
    <w:multiLevelType w:val="hybridMultilevel"/>
    <w:tmpl w:val="384C1600"/>
    <w:lvl w:ilvl="0" w:tplc="0409000F">
      <w:start w:val="1"/>
      <w:numFmt w:val="decimal"/>
      <w:lvlText w:val="%1."/>
      <w:lvlJc w:val="left"/>
      <w:pPr>
        <w:ind w:left="540" w:hanging="360"/>
      </w:pPr>
    </w:lvl>
    <w:lvl w:ilvl="1" w:tplc="1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43D3BA8"/>
    <w:multiLevelType w:val="hybridMultilevel"/>
    <w:tmpl w:val="C6C89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5672F13"/>
    <w:multiLevelType w:val="multilevel"/>
    <w:tmpl w:val="C60090DE"/>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2736"/>
        </w:tabs>
        <w:ind w:left="2736" w:hanging="576"/>
      </w:pPr>
      <w:rPr>
        <w:rFonts w:ascii="Calibri" w:hAnsi="Calibri" w:cs="Arial" w:hint="default"/>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94400E0"/>
    <w:multiLevelType w:val="hybridMultilevel"/>
    <w:tmpl w:val="7F845C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C30325"/>
    <w:multiLevelType w:val="hybridMultilevel"/>
    <w:tmpl w:val="976C93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B287243"/>
    <w:multiLevelType w:val="hybridMultilevel"/>
    <w:tmpl w:val="0840F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E597A4B"/>
    <w:multiLevelType w:val="hybridMultilevel"/>
    <w:tmpl w:val="BE7400B0"/>
    <w:lvl w:ilvl="0" w:tplc="0409000F">
      <w:start w:val="1"/>
      <w:numFmt w:val="decimal"/>
      <w:lvlText w:val="%1."/>
      <w:lvlJc w:val="left"/>
      <w:pPr>
        <w:ind w:left="54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34"/>
  </w:num>
  <w:num w:numId="3">
    <w:abstractNumId w:val="18"/>
  </w:num>
  <w:num w:numId="4">
    <w:abstractNumId w:val="1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num>
  <w:num w:numId="8">
    <w:abstractNumId w:val="4"/>
  </w:num>
  <w:num w:numId="9">
    <w:abstractNumId w:val="25"/>
  </w:num>
  <w:num w:numId="10">
    <w:abstractNumId w:val="38"/>
  </w:num>
  <w:num w:numId="11">
    <w:abstractNumId w:val="31"/>
  </w:num>
  <w:num w:numId="12">
    <w:abstractNumId w:val="41"/>
  </w:num>
  <w:num w:numId="13">
    <w:abstractNumId w:val="24"/>
  </w:num>
  <w:num w:numId="14">
    <w:abstractNumId w:val="40"/>
  </w:num>
  <w:num w:numId="15">
    <w:abstractNumId w:val="21"/>
  </w:num>
  <w:num w:numId="16">
    <w:abstractNumId w:val="37"/>
  </w:num>
  <w:num w:numId="17">
    <w:abstractNumId w:val="12"/>
  </w:num>
  <w:num w:numId="18">
    <w:abstractNumId w:val="23"/>
  </w:num>
  <w:num w:numId="19">
    <w:abstractNumId w:val="15"/>
  </w:num>
  <w:num w:numId="20">
    <w:abstractNumId w:val="0"/>
  </w:num>
  <w:num w:numId="21">
    <w:abstractNumId w:val="19"/>
  </w:num>
  <w:num w:numId="22">
    <w:abstractNumId w:val="7"/>
  </w:num>
  <w:num w:numId="23">
    <w:abstractNumId w:val="39"/>
  </w:num>
  <w:num w:numId="24">
    <w:abstractNumId w:val="35"/>
  </w:num>
  <w:num w:numId="25">
    <w:abstractNumId w:val="1"/>
  </w:num>
  <w:num w:numId="26">
    <w:abstractNumId w:val="20"/>
  </w:num>
  <w:num w:numId="27">
    <w:abstractNumId w:val="5"/>
  </w:num>
  <w:num w:numId="28">
    <w:abstractNumId w:val="33"/>
  </w:num>
  <w:num w:numId="29">
    <w:abstractNumId w:val="8"/>
  </w:num>
  <w:num w:numId="30">
    <w:abstractNumId w:val="27"/>
  </w:num>
  <w:num w:numId="31">
    <w:abstractNumId w:val="17"/>
  </w:num>
  <w:num w:numId="32">
    <w:abstractNumId w:val="32"/>
  </w:num>
  <w:num w:numId="33">
    <w:abstractNumId w:val="13"/>
  </w:num>
  <w:num w:numId="34">
    <w:abstractNumId w:val="9"/>
  </w:num>
  <w:num w:numId="35">
    <w:abstractNumId w:val="11"/>
  </w:num>
  <w:num w:numId="36">
    <w:abstractNumId w:val="36"/>
  </w:num>
  <w:num w:numId="37">
    <w:abstractNumId w:val="26"/>
  </w:num>
  <w:num w:numId="38">
    <w:abstractNumId w:val="16"/>
  </w:num>
  <w:num w:numId="39">
    <w:abstractNumId w:val="28"/>
  </w:num>
  <w:num w:numId="40">
    <w:abstractNumId w:val="6"/>
  </w:num>
  <w:num w:numId="41">
    <w:abstractNumId w:val="3"/>
  </w:num>
  <w:num w:numId="42">
    <w:abstractNumId w:val="29"/>
  </w:num>
  <w:num w:numId="4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90568"/>
    <w:rsid w:val="00001C88"/>
    <w:rsid w:val="00003766"/>
    <w:rsid w:val="00005530"/>
    <w:rsid w:val="00013887"/>
    <w:rsid w:val="000307DC"/>
    <w:rsid w:val="00051766"/>
    <w:rsid w:val="00054748"/>
    <w:rsid w:val="00087B81"/>
    <w:rsid w:val="00090828"/>
    <w:rsid w:val="0009311B"/>
    <w:rsid w:val="000A42B5"/>
    <w:rsid w:val="000C2C2D"/>
    <w:rsid w:val="000C5384"/>
    <w:rsid w:val="000C58C8"/>
    <w:rsid w:val="000C75B2"/>
    <w:rsid w:val="000D1F77"/>
    <w:rsid w:val="000D3603"/>
    <w:rsid w:val="000E3022"/>
    <w:rsid w:val="000E7E83"/>
    <w:rsid w:val="000F13BF"/>
    <w:rsid w:val="000F77AF"/>
    <w:rsid w:val="000F7C92"/>
    <w:rsid w:val="00106D5E"/>
    <w:rsid w:val="00107396"/>
    <w:rsid w:val="00114F9F"/>
    <w:rsid w:val="00121F82"/>
    <w:rsid w:val="001267CE"/>
    <w:rsid w:val="00137E2E"/>
    <w:rsid w:val="001401A5"/>
    <w:rsid w:val="00141292"/>
    <w:rsid w:val="00151D02"/>
    <w:rsid w:val="00152D3A"/>
    <w:rsid w:val="001538AC"/>
    <w:rsid w:val="00155A52"/>
    <w:rsid w:val="00156E29"/>
    <w:rsid w:val="00165288"/>
    <w:rsid w:val="001741C6"/>
    <w:rsid w:val="00175314"/>
    <w:rsid w:val="00176F6B"/>
    <w:rsid w:val="00184394"/>
    <w:rsid w:val="00187DEF"/>
    <w:rsid w:val="00190568"/>
    <w:rsid w:val="00193116"/>
    <w:rsid w:val="001977E9"/>
    <w:rsid w:val="001A3B03"/>
    <w:rsid w:val="001A7DB4"/>
    <w:rsid w:val="001B6143"/>
    <w:rsid w:val="001B7AB1"/>
    <w:rsid w:val="001D4CC3"/>
    <w:rsid w:val="00203425"/>
    <w:rsid w:val="0020607A"/>
    <w:rsid w:val="00206ACE"/>
    <w:rsid w:val="00210B4F"/>
    <w:rsid w:val="00220C7A"/>
    <w:rsid w:val="00221C58"/>
    <w:rsid w:val="002254A6"/>
    <w:rsid w:val="00225EE9"/>
    <w:rsid w:val="0022600E"/>
    <w:rsid w:val="002300A3"/>
    <w:rsid w:val="0023195A"/>
    <w:rsid w:val="0023442E"/>
    <w:rsid w:val="00235AFC"/>
    <w:rsid w:val="00237A10"/>
    <w:rsid w:val="00240CD9"/>
    <w:rsid w:val="00245F0B"/>
    <w:rsid w:val="0025029B"/>
    <w:rsid w:val="00253B8B"/>
    <w:rsid w:val="002610D2"/>
    <w:rsid w:val="00263F29"/>
    <w:rsid w:val="002747D2"/>
    <w:rsid w:val="0027522E"/>
    <w:rsid w:val="00276BA1"/>
    <w:rsid w:val="002943F2"/>
    <w:rsid w:val="00295A89"/>
    <w:rsid w:val="002A1498"/>
    <w:rsid w:val="002A6132"/>
    <w:rsid w:val="002C53D6"/>
    <w:rsid w:val="002E4A43"/>
    <w:rsid w:val="002E645C"/>
    <w:rsid w:val="002E6FF0"/>
    <w:rsid w:val="002E71AD"/>
    <w:rsid w:val="002E7CA0"/>
    <w:rsid w:val="002F291A"/>
    <w:rsid w:val="002F37BC"/>
    <w:rsid w:val="00306A7A"/>
    <w:rsid w:val="00310AF3"/>
    <w:rsid w:val="00312DBC"/>
    <w:rsid w:val="00323B00"/>
    <w:rsid w:val="00325479"/>
    <w:rsid w:val="00343B17"/>
    <w:rsid w:val="003520A8"/>
    <w:rsid w:val="00353252"/>
    <w:rsid w:val="00357991"/>
    <w:rsid w:val="003669B0"/>
    <w:rsid w:val="003738B7"/>
    <w:rsid w:val="003846B2"/>
    <w:rsid w:val="00385567"/>
    <w:rsid w:val="003A7B0D"/>
    <w:rsid w:val="003B5227"/>
    <w:rsid w:val="003C23BD"/>
    <w:rsid w:val="003C3487"/>
    <w:rsid w:val="003D1FD3"/>
    <w:rsid w:val="003D7F36"/>
    <w:rsid w:val="004002CC"/>
    <w:rsid w:val="00403D3E"/>
    <w:rsid w:val="0040427B"/>
    <w:rsid w:val="004060F0"/>
    <w:rsid w:val="00406FF7"/>
    <w:rsid w:val="0041555F"/>
    <w:rsid w:val="00425832"/>
    <w:rsid w:val="00432DEE"/>
    <w:rsid w:val="00442E23"/>
    <w:rsid w:val="004451CE"/>
    <w:rsid w:val="004510D1"/>
    <w:rsid w:val="00451E07"/>
    <w:rsid w:val="00453E69"/>
    <w:rsid w:val="004545BA"/>
    <w:rsid w:val="00456D47"/>
    <w:rsid w:val="004604B2"/>
    <w:rsid w:val="00463316"/>
    <w:rsid w:val="004712F8"/>
    <w:rsid w:val="0048232D"/>
    <w:rsid w:val="00487C9F"/>
    <w:rsid w:val="0049439C"/>
    <w:rsid w:val="00494E47"/>
    <w:rsid w:val="004975A8"/>
    <w:rsid w:val="00497D1C"/>
    <w:rsid w:val="004A1CB8"/>
    <w:rsid w:val="004B272E"/>
    <w:rsid w:val="004B6089"/>
    <w:rsid w:val="004C227B"/>
    <w:rsid w:val="004C6CE3"/>
    <w:rsid w:val="004D5726"/>
    <w:rsid w:val="004E0230"/>
    <w:rsid w:val="004E02CA"/>
    <w:rsid w:val="004F6B69"/>
    <w:rsid w:val="004F783F"/>
    <w:rsid w:val="00502FC3"/>
    <w:rsid w:val="00506D68"/>
    <w:rsid w:val="00517D90"/>
    <w:rsid w:val="005306E4"/>
    <w:rsid w:val="00540DC9"/>
    <w:rsid w:val="00540EA3"/>
    <w:rsid w:val="00542153"/>
    <w:rsid w:val="00545B1F"/>
    <w:rsid w:val="00555B52"/>
    <w:rsid w:val="005563B9"/>
    <w:rsid w:val="00557316"/>
    <w:rsid w:val="0056492B"/>
    <w:rsid w:val="0056777C"/>
    <w:rsid w:val="00576AF1"/>
    <w:rsid w:val="00576F64"/>
    <w:rsid w:val="005810BA"/>
    <w:rsid w:val="00582C57"/>
    <w:rsid w:val="00587C12"/>
    <w:rsid w:val="005904BE"/>
    <w:rsid w:val="00592555"/>
    <w:rsid w:val="005A024C"/>
    <w:rsid w:val="005A4044"/>
    <w:rsid w:val="005B1AA7"/>
    <w:rsid w:val="005C1783"/>
    <w:rsid w:val="005C2211"/>
    <w:rsid w:val="005D1C86"/>
    <w:rsid w:val="005E1DA1"/>
    <w:rsid w:val="005E5BC9"/>
    <w:rsid w:val="005F0976"/>
    <w:rsid w:val="005F55A9"/>
    <w:rsid w:val="005F580F"/>
    <w:rsid w:val="005F7534"/>
    <w:rsid w:val="00612B07"/>
    <w:rsid w:val="0062274B"/>
    <w:rsid w:val="00623578"/>
    <w:rsid w:val="00634B33"/>
    <w:rsid w:val="00641DDF"/>
    <w:rsid w:val="006423E1"/>
    <w:rsid w:val="00642C0F"/>
    <w:rsid w:val="0064534F"/>
    <w:rsid w:val="006512F4"/>
    <w:rsid w:val="00662D6D"/>
    <w:rsid w:val="00663B74"/>
    <w:rsid w:val="0067344B"/>
    <w:rsid w:val="00675402"/>
    <w:rsid w:val="00684224"/>
    <w:rsid w:val="00692BA1"/>
    <w:rsid w:val="006A040B"/>
    <w:rsid w:val="006A677F"/>
    <w:rsid w:val="006B7B3B"/>
    <w:rsid w:val="006B7F6B"/>
    <w:rsid w:val="006C0754"/>
    <w:rsid w:val="006C2C67"/>
    <w:rsid w:val="006D3B35"/>
    <w:rsid w:val="006D3E58"/>
    <w:rsid w:val="006F09B7"/>
    <w:rsid w:val="006F5AFB"/>
    <w:rsid w:val="007050F2"/>
    <w:rsid w:val="007074F6"/>
    <w:rsid w:val="00713BB5"/>
    <w:rsid w:val="00716858"/>
    <w:rsid w:val="00717485"/>
    <w:rsid w:val="00723A72"/>
    <w:rsid w:val="00730EB8"/>
    <w:rsid w:val="00737CFE"/>
    <w:rsid w:val="00747D37"/>
    <w:rsid w:val="0075397A"/>
    <w:rsid w:val="007551F9"/>
    <w:rsid w:val="00757CF0"/>
    <w:rsid w:val="007602FF"/>
    <w:rsid w:val="00783277"/>
    <w:rsid w:val="00787902"/>
    <w:rsid w:val="0079186D"/>
    <w:rsid w:val="00791877"/>
    <w:rsid w:val="00791A65"/>
    <w:rsid w:val="007A6436"/>
    <w:rsid w:val="007B39BC"/>
    <w:rsid w:val="007B7480"/>
    <w:rsid w:val="007B7DC7"/>
    <w:rsid w:val="007C16A5"/>
    <w:rsid w:val="007C3673"/>
    <w:rsid w:val="007D5873"/>
    <w:rsid w:val="00802C64"/>
    <w:rsid w:val="00814890"/>
    <w:rsid w:val="00815468"/>
    <w:rsid w:val="00824C99"/>
    <w:rsid w:val="008255C8"/>
    <w:rsid w:val="00832812"/>
    <w:rsid w:val="0083409F"/>
    <w:rsid w:val="00834E02"/>
    <w:rsid w:val="00834E0E"/>
    <w:rsid w:val="008363BD"/>
    <w:rsid w:val="00842960"/>
    <w:rsid w:val="00850314"/>
    <w:rsid w:val="0085326F"/>
    <w:rsid w:val="008546EB"/>
    <w:rsid w:val="008569F4"/>
    <w:rsid w:val="00857D59"/>
    <w:rsid w:val="008612C6"/>
    <w:rsid w:val="008626E4"/>
    <w:rsid w:val="008705A8"/>
    <w:rsid w:val="00870D14"/>
    <w:rsid w:val="00871545"/>
    <w:rsid w:val="00882D9E"/>
    <w:rsid w:val="00892092"/>
    <w:rsid w:val="008936F1"/>
    <w:rsid w:val="00893EBA"/>
    <w:rsid w:val="008A21FD"/>
    <w:rsid w:val="008A4CC1"/>
    <w:rsid w:val="008A68DE"/>
    <w:rsid w:val="008A7A9E"/>
    <w:rsid w:val="008B5A0A"/>
    <w:rsid w:val="008C062F"/>
    <w:rsid w:val="008C177D"/>
    <w:rsid w:val="008D6318"/>
    <w:rsid w:val="008E1793"/>
    <w:rsid w:val="008E7026"/>
    <w:rsid w:val="008E7919"/>
    <w:rsid w:val="008F452E"/>
    <w:rsid w:val="008F61FB"/>
    <w:rsid w:val="00906555"/>
    <w:rsid w:val="00911422"/>
    <w:rsid w:val="009206BA"/>
    <w:rsid w:val="009237F8"/>
    <w:rsid w:val="00923BF5"/>
    <w:rsid w:val="00931BC9"/>
    <w:rsid w:val="00936B5F"/>
    <w:rsid w:val="009470E2"/>
    <w:rsid w:val="0095052B"/>
    <w:rsid w:val="00956FEE"/>
    <w:rsid w:val="009605BD"/>
    <w:rsid w:val="009669C0"/>
    <w:rsid w:val="0098112F"/>
    <w:rsid w:val="0099446F"/>
    <w:rsid w:val="00995B00"/>
    <w:rsid w:val="009A3436"/>
    <w:rsid w:val="009A3C8D"/>
    <w:rsid w:val="009B02D5"/>
    <w:rsid w:val="009C07BC"/>
    <w:rsid w:val="009C5A5F"/>
    <w:rsid w:val="009D4C23"/>
    <w:rsid w:val="009D78DE"/>
    <w:rsid w:val="009E2872"/>
    <w:rsid w:val="009E3419"/>
    <w:rsid w:val="009E3801"/>
    <w:rsid w:val="00A03114"/>
    <w:rsid w:val="00A11DD7"/>
    <w:rsid w:val="00A15D05"/>
    <w:rsid w:val="00A304F4"/>
    <w:rsid w:val="00A35994"/>
    <w:rsid w:val="00A45E06"/>
    <w:rsid w:val="00A538DC"/>
    <w:rsid w:val="00A562EC"/>
    <w:rsid w:val="00A56439"/>
    <w:rsid w:val="00A70CB6"/>
    <w:rsid w:val="00A72CF5"/>
    <w:rsid w:val="00A765DA"/>
    <w:rsid w:val="00A94CF3"/>
    <w:rsid w:val="00AA4739"/>
    <w:rsid w:val="00AA5797"/>
    <w:rsid w:val="00AA6CE5"/>
    <w:rsid w:val="00AB6B8C"/>
    <w:rsid w:val="00AB6CC9"/>
    <w:rsid w:val="00AC1D4C"/>
    <w:rsid w:val="00AC215B"/>
    <w:rsid w:val="00AC2D44"/>
    <w:rsid w:val="00AC5D1D"/>
    <w:rsid w:val="00AC7671"/>
    <w:rsid w:val="00AD6299"/>
    <w:rsid w:val="00AD7094"/>
    <w:rsid w:val="00AD79AD"/>
    <w:rsid w:val="00AE0024"/>
    <w:rsid w:val="00AF27E6"/>
    <w:rsid w:val="00AF34DA"/>
    <w:rsid w:val="00AF3561"/>
    <w:rsid w:val="00AF6552"/>
    <w:rsid w:val="00B17229"/>
    <w:rsid w:val="00B17E7B"/>
    <w:rsid w:val="00B35C7B"/>
    <w:rsid w:val="00B37148"/>
    <w:rsid w:val="00B436E1"/>
    <w:rsid w:val="00B45763"/>
    <w:rsid w:val="00B54B68"/>
    <w:rsid w:val="00B554A1"/>
    <w:rsid w:val="00B61E45"/>
    <w:rsid w:val="00B6207E"/>
    <w:rsid w:val="00B65B3A"/>
    <w:rsid w:val="00B74D26"/>
    <w:rsid w:val="00B75041"/>
    <w:rsid w:val="00B77A88"/>
    <w:rsid w:val="00B8373F"/>
    <w:rsid w:val="00B90926"/>
    <w:rsid w:val="00B93689"/>
    <w:rsid w:val="00BA1326"/>
    <w:rsid w:val="00BA32B3"/>
    <w:rsid w:val="00BB3031"/>
    <w:rsid w:val="00BC2533"/>
    <w:rsid w:val="00BC7E87"/>
    <w:rsid w:val="00BD4A76"/>
    <w:rsid w:val="00BD659F"/>
    <w:rsid w:val="00BF0A05"/>
    <w:rsid w:val="00C039C7"/>
    <w:rsid w:val="00C1426A"/>
    <w:rsid w:val="00C26FB1"/>
    <w:rsid w:val="00C27FB9"/>
    <w:rsid w:val="00C31B70"/>
    <w:rsid w:val="00C31BAD"/>
    <w:rsid w:val="00C372C3"/>
    <w:rsid w:val="00C5008A"/>
    <w:rsid w:val="00C675CE"/>
    <w:rsid w:val="00C67CF3"/>
    <w:rsid w:val="00C71E05"/>
    <w:rsid w:val="00C77082"/>
    <w:rsid w:val="00C87261"/>
    <w:rsid w:val="00C931AB"/>
    <w:rsid w:val="00C940BE"/>
    <w:rsid w:val="00CA6B24"/>
    <w:rsid w:val="00CB21DB"/>
    <w:rsid w:val="00CB2A2F"/>
    <w:rsid w:val="00CB3CCF"/>
    <w:rsid w:val="00CC5952"/>
    <w:rsid w:val="00CD4509"/>
    <w:rsid w:val="00CE3D7C"/>
    <w:rsid w:val="00D1086E"/>
    <w:rsid w:val="00D1203A"/>
    <w:rsid w:val="00D12FA1"/>
    <w:rsid w:val="00D166BA"/>
    <w:rsid w:val="00D21AE3"/>
    <w:rsid w:val="00D22921"/>
    <w:rsid w:val="00D255D0"/>
    <w:rsid w:val="00D26799"/>
    <w:rsid w:val="00D337CD"/>
    <w:rsid w:val="00D36FE9"/>
    <w:rsid w:val="00D41F7C"/>
    <w:rsid w:val="00D45CF2"/>
    <w:rsid w:val="00D52190"/>
    <w:rsid w:val="00D70381"/>
    <w:rsid w:val="00D724EE"/>
    <w:rsid w:val="00D81D4C"/>
    <w:rsid w:val="00D84DD7"/>
    <w:rsid w:val="00D951AB"/>
    <w:rsid w:val="00DA04F1"/>
    <w:rsid w:val="00DB38EA"/>
    <w:rsid w:val="00DB56CD"/>
    <w:rsid w:val="00DE1086"/>
    <w:rsid w:val="00E012BA"/>
    <w:rsid w:val="00E02179"/>
    <w:rsid w:val="00E02293"/>
    <w:rsid w:val="00E0526A"/>
    <w:rsid w:val="00E11B1A"/>
    <w:rsid w:val="00E147BF"/>
    <w:rsid w:val="00E258E7"/>
    <w:rsid w:val="00E26CE0"/>
    <w:rsid w:val="00E329B5"/>
    <w:rsid w:val="00E3757E"/>
    <w:rsid w:val="00E43890"/>
    <w:rsid w:val="00E44A1C"/>
    <w:rsid w:val="00E46A9B"/>
    <w:rsid w:val="00E50533"/>
    <w:rsid w:val="00E610A6"/>
    <w:rsid w:val="00E62135"/>
    <w:rsid w:val="00E6311A"/>
    <w:rsid w:val="00E66685"/>
    <w:rsid w:val="00E66C36"/>
    <w:rsid w:val="00E70D97"/>
    <w:rsid w:val="00E7586E"/>
    <w:rsid w:val="00E80041"/>
    <w:rsid w:val="00E80CFF"/>
    <w:rsid w:val="00EA5F5B"/>
    <w:rsid w:val="00EB14A4"/>
    <w:rsid w:val="00ED15D5"/>
    <w:rsid w:val="00ED4E3F"/>
    <w:rsid w:val="00ED50A9"/>
    <w:rsid w:val="00ED54DE"/>
    <w:rsid w:val="00ED5DB7"/>
    <w:rsid w:val="00ED7D68"/>
    <w:rsid w:val="00EE34B3"/>
    <w:rsid w:val="00EE487F"/>
    <w:rsid w:val="00EF05C8"/>
    <w:rsid w:val="00EF3E2F"/>
    <w:rsid w:val="00EF42BD"/>
    <w:rsid w:val="00F015DF"/>
    <w:rsid w:val="00F01E44"/>
    <w:rsid w:val="00F05BED"/>
    <w:rsid w:val="00F06DB6"/>
    <w:rsid w:val="00F10E41"/>
    <w:rsid w:val="00F137F5"/>
    <w:rsid w:val="00F22AEF"/>
    <w:rsid w:val="00F41FD4"/>
    <w:rsid w:val="00F47DA0"/>
    <w:rsid w:val="00F53ECD"/>
    <w:rsid w:val="00F66D2F"/>
    <w:rsid w:val="00F67574"/>
    <w:rsid w:val="00F71B5D"/>
    <w:rsid w:val="00F80177"/>
    <w:rsid w:val="00F862E2"/>
    <w:rsid w:val="00F93F53"/>
    <w:rsid w:val="00FA6CF3"/>
    <w:rsid w:val="00FB4815"/>
    <w:rsid w:val="00FB4B79"/>
    <w:rsid w:val="00FC1A36"/>
    <w:rsid w:val="00FC7FED"/>
    <w:rsid w:val="00FD1251"/>
    <w:rsid w:val="00FD4589"/>
    <w:rsid w:val="00FD688E"/>
    <w:rsid w:val="00FE1240"/>
    <w:rsid w:val="00FE3074"/>
    <w:rsid w:val="00FE7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BB61AC3"/>
  <w15:docId w15:val="{ED9D24CF-9F11-4662-A4CD-DBECF051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A1"/>
    <w:rPr>
      <w:rFonts w:asciiTheme="minorHAnsi" w:hAnsiTheme="minorHAnsi"/>
      <w:sz w:val="24"/>
      <w:szCs w:val="24"/>
      <w:lang w:val="en-GB" w:eastAsia="en-US"/>
    </w:rPr>
  </w:style>
  <w:style w:type="paragraph" w:styleId="Heading1">
    <w:name w:val="heading 1"/>
    <w:basedOn w:val="Normal"/>
    <w:next w:val="Normal"/>
    <w:autoRedefine/>
    <w:qFormat/>
    <w:rsid w:val="00ED54DE"/>
    <w:pPr>
      <w:keepNext/>
      <w:numPr>
        <w:numId w:val="16"/>
      </w:numPr>
      <w:spacing w:before="240" w:after="60"/>
      <w:jc w:val="both"/>
      <w:outlineLvl w:val="0"/>
    </w:pPr>
    <w:rPr>
      <w:rFonts w:ascii="Calibri" w:hAnsi="Calibri" w:cs="Arial"/>
      <w:b/>
      <w:bCs/>
      <w:color w:val="000000" w:themeColor="text1"/>
      <w:kern w:val="32"/>
      <w:sz w:val="28"/>
      <w:szCs w:val="28"/>
    </w:rPr>
  </w:style>
  <w:style w:type="paragraph" w:styleId="Heading2">
    <w:name w:val="heading 2"/>
    <w:basedOn w:val="Normal"/>
    <w:next w:val="Normal"/>
    <w:link w:val="Heading2Char"/>
    <w:autoRedefine/>
    <w:qFormat/>
    <w:rsid w:val="00165288"/>
    <w:pPr>
      <w:keepNext/>
      <w:numPr>
        <w:ilvl w:val="1"/>
        <w:numId w:val="16"/>
      </w:numPr>
      <w:tabs>
        <w:tab w:val="clear" w:pos="2736"/>
      </w:tabs>
      <w:spacing w:before="240" w:after="60"/>
      <w:ind w:left="567" w:hanging="567"/>
      <w:jc w:val="both"/>
      <w:outlineLvl w:val="1"/>
    </w:pPr>
    <w:rPr>
      <w:rFonts w:eastAsia="MS Gothic"/>
      <w:b/>
      <w:bCs/>
      <w:iCs/>
      <w:color w:val="000000" w:themeColor="text1"/>
      <w:szCs w:val="28"/>
    </w:rPr>
  </w:style>
  <w:style w:type="paragraph" w:styleId="Heading3">
    <w:name w:val="heading 3"/>
    <w:basedOn w:val="Normal"/>
    <w:next w:val="Normal"/>
    <w:qFormat/>
    <w:rsid w:val="00D12FA1"/>
    <w:pPr>
      <w:keepNext/>
      <w:numPr>
        <w:ilvl w:val="2"/>
        <w:numId w:val="16"/>
      </w:numPr>
      <w:spacing w:before="240" w:after="60"/>
      <w:outlineLvl w:val="2"/>
    </w:pPr>
    <w:rPr>
      <w:rFonts w:cs="Arial"/>
      <w:bCs/>
      <w:sz w:val="26"/>
      <w:szCs w:val="26"/>
    </w:rPr>
  </w:style>
  <w:style w:type="paragraph" w:styleId="Heading4">
    <w:name w:val="heading 4"/>
    <w:basedOn w:val="Normal"/>
    <w:next w:val="Normal"/>
    <w:qFormat/>
    <w:rsid w:val="00D12FA1"/>
    <w:pPr>
      <w:keepNext/>
      <w:numPr>
        <w:ilvl w:val="3"/>
        <w:numId w:val="16"/>
      </w:numPr>
      <w:spacing w:before="240" w:after="60"/>
      <w:outlineLvl w:val="3"/>
    </w:pPr>
    <w:rPr>
      <w:b/>
      <w:bCs/>
      <w:sz w:val="28"/>
      <w:szCs w:val="28"/>
    </w:rPr>
  </w:style>
  <w:style w:type="paragraph" w:styleId="Heading5">
    <w:name w:val="heading 5"/>
    <w:basedOn w:val="Normal"/>
    <w:next w:val="Normal"/>
    <w:qFormat/>
    <w:rsid w:val="00D12FA1"/>
    <w:pPr>
      <w:numPr>
        <w:ilvl w:val="4"/>
        <w:numId w:val="16"/>
      </w:numPr>
      <w:spacing w:before="240" w:after="60"/>
      <w:outlineLvl w:val="4"/>
    </w:pPr>
    <w:rPr>
      <w:b/>
      <w:bCs/>
      <w:i/>
      <w:iCs/>
      <w:sz w:val="26"/>
      <w:szCs w:val="26"/>
    </w:rPr>
  </w:style>
  <w:style w:type="paragraph" w:styleId="Heading6">
    <w:name w:val="heading 6"/>
    <w:basedOn w:val="Normal"/>
    <w:next w:val="Normal"/>
    <w:qFormat/>
    <w:rsid w:val="00D12FA1"/>
    <w:pPr>
      <w:numPr>
        <w:ilvl w:val="5"/>
        <w:numId w:val="16"/>
      </w:numPr>
      <w:spacing w:before="240" w:after="60"/>
      <w:outlineLvl w:val="5"/>
    </w:pPr>
    <w:rPr>
      <w:b/>
      <w:bCs/>
      <w:sz w:val="22"/>
      <w:szCs w:val="22"/>
    </w:rPr>
  </w:style>
  <w:style w:type="paragraph" w:styleId="Heading7">
    <w:name w:val="heading 7"/>
    <w:basedOn w:val="Normal"/>
    <w:next w:val="Normal"/>
    <w:qFormat/>
    <w:rsid w:val="00D12FA1"/>
    <w:pPr>
      <w:numPr>
        <w:ilvl w:val="6"/>
        <w:numId w:val="16"/>
      </w:numPr>
      <w:spacing w:before="240" w:after="60"/>
      <w:outlineLvl w:val="6"/>
    </w:pPr>
  </w:style>
  <w:style w:type="paragraph" w:styleId="Heading8">
    <w:name w:val="heading 8"/>
    <w:basedOn w:val="Normal"/>
    <w:next w:val="Normal"/>
    <w:qFormat/>
    <w:rsid w:val="00D12FA1"/>
    <w:pPr>
      <w:numPr>
        <w:ilvl w:val="7"/>
        <w:numId w:val="16"/>
      </w:numPr>
      <w:spacing w:before="240" w:after="60"/>
      <w:outlineLvl w:val="7"/>
    </w:pPr>
    <w:rPr>
      <w:i/>
      <w:iCs/>
    </w:rPr>
  </w:style>
  <w:style w:type="paragraph" w:styleId="Heading9">
    <w:name w:val="heading 9"/>
    <w:basedOn w:val="Normal"/>
    <w:next w:val="Normal"/>
    <w:qFormat/>
    <w:rsid w:val="00D12FA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qFormat/>
    <w:rsid w:val="00D12FA1"/>
    <w:pPr>
      <w:keepLines/>
      <w:numPr>
        <w:numId w:val="0"/>
      </w:numPr>
      <w:spacing w:before="480" w:after="0" w:line="276" w:lineRule="auto"/>
      <w:outlineLvl w:val="9"/>
    </w:pPr>
    <w:rPr>
      <w:rFonts w:eastAsia="MS Gothic" w:cs="Times New Roman"/>
      <w:color w:val="365F91"/>
      <w:kern w:val="0"/>
    </w:rPr>
  </w:style>
  <w:style w:type="paragraph" w:styleId="TOC1">
    <w:name w:val="toc 1"/>
    <w:basedOn w:val="Normal"/>
    <w:next w:val="Normal"/>
    <w:autoRedefine/>
    <w:uiPriority w:val="39"/>
    <w:rsid w:val="000C58C8"/>
    <w:pPr>
      <w:spacing w:before="120"/>
    </w:pPr>
    <w:rPr>
      <w:b/>
    </w:rPr>
  </w:style>
  <w:style w:type="paragraph" w:styleId="TOC3">
    <w:name w:val="toc 3"/>
    <w:basedOn w:val="Normal"/>
    <w:next w:val="Normal"/>
    <w:autoRedefine/>
    <w:uiPriority w:val="39"/>
    <w:rsid w:val="00107396"/>
    <w:pPr>
      <w:ind w:left="480"/>
    </w:pPr>
    <w:rPr>
      <w:rFonts w:ascii="Cambria" w:hAnsi="Cambria"/>
      <w:sz w:val="22"/>
      <w:szCs w:val="22"/>
    </w:rPr>
  </w:style>
  <w:style w:type="paragraph" w:styleId="TOC2">
    <w:name w:val="toc 2"/>
    <w:basedOn w:val="Normal"/>
    <w:next w:val="Normal"/>
    <w:autoRedefine/>
    <w:uiPriority w:val="39"/>
    <w:rsid w:val="000C58C8"/>
    <w:pPr>
      <w:ind w:left="240"/>
    </w:pPr>
    <w:rPr>
      <w:b/>
      <w:sz w:val="22"/>
      <w:szCs w:val="22"/>
    </w:rPr>
  </w:style>
  <w:style w:type="paragraph" w:styleId="TOC4">
    <w:name w:val="toc 4"/>
    <w:basedOn w:val="Normal"/>
    <w:next w:val="Normal"/>
    <w:autoRedefine/>
    <w:rsid w:val="00107396"/>
    <w:pPr>
      <w:ind w:left="720"/>
    </w:pPr>
    <w:rPr>
      <w:rFonts w:ascii="Cambria" w:hAnsi="Cambria"/>
      <w:sz w:val="20"/>
      <w:szCs w:val="20"/>
    </w:rPr>
  </w:style>
  <w:style w:type="paragraph" w:styleId="TOC5">
    <w:name w:val="toc 5"/>
    <w:basedOn w:val="Normal"/>
    <w:next w:val="Normal"/>
    <w:autoRedefine/>
    <w:rsid w:val="00107396"/>
    <w:pPr>
      <w:ind w:left="960"/>
    </w:pPr>
    <w:rPr>
      <w:rFonts w:ascii="Cambria" w:hAnsi="Cambria"/>
      <w:sz w:val="20"/>
      <w:szCs w:val="20"/>
    </w:rPr>
  </w:style>
  <w:style w:type="paragraph" w:styleId="TOC6">
    <w:name w:val="toc 6"/>
    <w:basedOn w:val="Normal"/>
    <w:next w:val="Normal"/>
    <w:autoRedefine/>
    <w:rsid w:val="00107396"/>
    <w:pPr>
      <w:ind w:left="1200"/>
    </w:pPr>
    <w:rPr>
      <w:rFonts w:ascii="Cambria" w:hAnsi="Cambria"/>
      <w:sz w:val="20"/>
      <w:szCs w:val="20"/>
    </w:rPr>
  </w:style>
  <w:style w:type="paragraph" w:styleId="TOC7">
    <w:name w:val="toc 7"/>
    <w:basedOn w:val="Normal"/>
    <w:next w:val="Normal"/>
    <w:autoRedefine/>
    <w:rsid w:val="00107396"/>
    <w:pPr>
      <w:ind w:left="1440"/>
    </w:pPr>
    <w:rPr>
      <w:rFonts w:ascii="Cambria" w:hAnsi="Cambria"/>
      <w:sz w:val="20"/>
      <w:szCs w:val="20"/>
    </w:rPr>
  </w:style>
  <w:style w:type="paragraph" w:styleId="TOC8">
    <w:name w:val="toc 8"/>
    <w:basedOn w:val="Normal"/>
    <w:next w:val="Normal"/>
    <w:autoRedefine/>
    <w:rsid w:val="00107396"/>
    <w:pPr>
      <w:ind w:left="1680"/>
    </w:pPr>
    <w:rPr>
      <w:rFonts w:ascii="Cambria" w:hAnsi="Cambria"/>
      <w:sz w:val="20"/>
      <w:szCs w:val="20"/>
    </w:rPr>
  </w:style>
  <w:style w:type="paragraph" w:styleId="TOC9">
    <w:name w:val="toc 9"/>
    <w:basedOn w:val="Normal"/>
    <w:next w:val="Normal"/>
    <w:autoRedefine/>
    <w:rsid w:val="00107396"/>
    <w:pPr>
      <w:ind w:left="1920"/>
    </w:pPr>
    <w:rPr>
      <w:rFonts w:ascii="Cambria" w:hAnsi="Cambria"/>
      <w:sz w:val="20"/>
      <w:szCs w:val="20"/>
    </w:rPr>
  </w:style>
  <w:style w:type="paragraph" w:styleId="Header">
    <w:name w:val="header"/>
    <w:basedOn w:val="Normal"/>
    <w:link w:val="HeaderChar"/>
    <w:rsid w:val="00107396"/>
    <w:pPr>
      <w:tabs>
        <w:tab w:val="center" w:pos="4320"/>
        <w:tab w:val="right" w:pos="8640"/>
      </w:tabs>
    </w:pPr>
    <w:rPr>
      <w:rFonts w:ascii="Times New Roman" w:hAnsi="Times New Roman"/>
      <w:lang w:val="en-US"/>
    </w:rPr>
  </w:style>
  <w:style w:type="character" w:customStyle="1" w:styleId="HeaderChar">
    <w:name w:val="Header Char"/>
    <w:link w:val="Header"/>
    <w:rsid w:val="00107396"/>
    <w:rPr>
      <w:sz w:val="24"/>
      <w:szCs w:val="24"/>
      <w:lang w:val="en-US"/>
    </w:rPr>
  </w:style>
  <w:style w:type="paragraph" w:styleId="Footer">
    <w:name w:val="footer"/>
    <w:basedOn w:val="Normal"/>
    <w:link w:val="FooterChar"/>
    <w:uiPriority w:val="99"/>
    <w:rsid w:val="00107396"/>
    <w:pPr>
      <w:tabs>
        <w:tab w:val="center" w:pos="4320"/>
        <w:tab w:val="right" w:pos="8640"/>
      </w:tabs>
    </w:pPr>
    <w:rPr>
      <w:rFonts w:ascii="Times New Roman" w:hAnsi="Times New Roman"/>
      <w:lang w:val="en-US"/>
    </w:rPr>
  </w:style>
  <w:style w:type="character" w:customStyle="1" w:styleId="FooterChar">
    <w:name w:val="Footer Char"/>
    <w:link w:val="Footer"/>
    <w:uiPriority w:val="99"/>
    <w:rsid w:val="00107396"/>
    <w:rPr>
      <w:sz w:val="24"/>
      <w:szCs w:val="24"/>
      <w:lang w:val="en-US"/>
    </w:rPr>
  </w:style>
  <w:style w:type="paragraph" w:styleId="Index1">
    <w:name w:val="index 1"/>
    <w:basedOn w:val="Normal"/>
    <w:next w:val="Normal"/>
    <w:autoRedefine/>
    <w:rsid w:val="00107396"/>
    <w:pPr>
      <w:ind w:left="240" w:hanging="240"/>
    </w:pPr>
  </w:style>
  <w:style w:type="paragraph" w:styleId="Index2">
    <w:name w:val="index 2"/>
    <w:basedOn w:val="Normal"/>
    <w:next w:val="Normal"/>
    <w:autoRedefine/>
    <w:rsid w:val="00107396"/>
    <w:pPr>
      <w:ind w:left="480" w:hanging="240"/>
    </w:pPr>
  </w:style>
  <w:style w:type="paragraph" w:styleId="Index3">
    <w:name w:val="index 3"/>
    <w:basedOn w:val="Normal"/>
    <w:next w:val="Normal"/>
    <w:autoRedefine/>
    <w:rsid w:val="00107396"/>
    <w:pPr>
      <w:ind w:left="720" w:hanging="240"/>
    </w:pPr>
  </w:style>
  <w:style w:type="paragraph" w:styleId="Index4">
    <w:name w:val="index 4"/>
    <w:basedOn w:val="Normal"/>
    <w:next w:val="Normal"/>
    <w:autoRedefine/>
    <w:rsid w:val="00107396"/>
    <w:pPr>
      <w:ind w:left="960" w:hanging="240"/>
    </w:pPr>
  </w:style>
  <w:style w:type="paragraph" w:styleId="Index5">
    <w:name w:val="index 5"/>
    <w:basedOn w:val="Normal"/>
    <w:next w:val="Normal"/>
    <w:autoRedefine/>
    <w:rsid w:val="00107396"/>
    <w:pPr>
      <w:ind w:left="1200" w:hanging="240"/>
    </w:pPr>
  </w:style>
  <w:style w:type="paragraph" w:styleId="Index6">
    <w:name w:val="index 6"/>
    <w:basedOn w:val="Normal"/>
    <w:next w:val="Normal"/>
    <w:autoRedefine/>
    <w:rsid w:val="00107396"/>
    <w:pPr>
      <w:ind w:left="1440" w:hanging="240"/>
    </w:pPr>
  </w:style>
  <w:style w:type="paragraph" w:styleId="Index7">
    <w:name w:val="index 7"/>
    <w:basedOn w:val="Normal"/>
    <w:next w:val="Normal"/>
    <w:autoRedefine/>
    <w:rsid w:val="00107396"/>
    <w:pPr>
      <w:ind w:left="1680" w:hanging="240"/>
    </w:pPr>
  </w:style>
  <w:style w:type="paragraph" w:styleId="Index8">
    <w:name w:val="index 8"/>
    <w:basedOn w:val="Normal"/>
    <w:next w:val="Normal"/>
    <w:autoRedefine/>
    <w:rsid w:val="00107396"/>
    <w:pPr>
      <w:ind w:left="1920" w:hanging="240"/>
    </w:pPr>
  </w:style>
  <w:style w:type="paragraph" w:styleId="Index9">
    <w:name w:val="index 9"/>
    <w:basedOn w:val="Normal"/>
    <w:next w:val="Normal"/>
    <w:autoRedefine/>
    <w:rsid w:val="00107396"/>
    <w:pPr>
      <w:ind w:left="2160" w:hanging="240"/>
    </w:pPr>
  </w:style>
  <w:style w:type="paragraph" w:styleId="IndexHeading">
    <w:name w:val="index heading"/>
    <w:basedOn w:val="Normal"/>
    <w:next w:val="Index1"/>
    <w:rsid w:val="00107396"/>
  </w:style>
  <w:style w:type="character" w:styleId="PageNumber">
    <w:name w:val="page number"/>
    <w:rsid w:val="00107396"/>
  </w:style>
  <w:style w:type="character" w:customStyle="1" w:styleId="Heading2Char">
    <w:name w:val="Heading 2 Char"/>
    <w:link w:val="Heading2"/>
    <w:rsid w:val="00165288"/>
    <w:rPr>
      <w:rFonts w:asciiTheme="minorHAnsi" w:eastAsia="MS Gothic" w:hAnsiTheme="minorHAnsi"/>
      <w:b/>
      <w:bCs/>
      <w:iCs/>
      <w:color w:val="000000" w:themeColor="text1"/>
      <w:sz w:val="24"/>
      <w:szCs w:val="28"/>
      <w:lang w:val="en-GB" w:eastAsia="en-US"/>
    </w:rPr>
  </w:style>
  <w:style w:type="character" w:styleId="Hyperlink">
    <w:name w:val="Hyperlink"/>
    <w:uiPriority w:val="99"/>
    <w:rsid w:val="00107396"/>
    <w:rPr>
      <w:color w:val="0000FF"/>
      <w:u w:val="single"/>
    </w:rPr>
  </w:style>
  <w:style w:type="table" w:styleId="TableGrid">
    <w:name w:val="Table Grid"/>
    <w:basedOn w:val="TableNormal"/>
    <w:rsid w:val="0010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D54DE"/>
    <w:pPr>
      <w:spacing w:before="240" w:after="60"/>
      <w:jc w:val="center"/>
      <w:outlineLvl w:val="0"/>
    </w:pPr>
    <w:rPr>
      <w:rFonts w:cs="Arial"/>
      <w:b/>
      <w:bCs/>
      <w:color w:val="000000" w:themeColor="text1"/>
      <w:kern w:val="28"/>
      <w:sz w:val="32"/>
      <w:szCs w:val="32"/>
    </w:rPr>
  </w:style>
  <w:style w:type="paragraph" w:customStyle="1" w:styleId="Style1">
    <w:name w:val="Style1"/>
    <w:basedOn w:val="Heading2"/>
    <w:rsid w:val="00107396"/>
  </w:style>
  <w:style w:type="paragraph" w:customStyle="1" w:styleId="Heading21">
    <w:name w:val="Heading 2  1"/>
    <w:basedOn w:val="Heading2"/>
    <w:rsid w:val="00107396"/>
  </w:style>
  <w:style w:type="numbering" w:styleId="111111">
    <w:name w:val="Outline List 2"/>
    <w:basedOn w:val="NoList"/>
    <w:rsid w:val="00107396"/>
    <w:pPr>
      <w:numPr>
        <w:numId w:val="6"/>
      </w:numPr>
    </w:pPr>
  </w:style>
  <w:style w:type="paragraph" w:styleId="Caption">
    <w:name w:val="caption"/>
    <w:basedOn w:val="Normal"/>
    <w:next w:val="Normal"/>
    <w:qFormat/>
    <w:rsid w:val="00D12FA1"/>
    <w:rPr>
      <w:b/>
      <w:bCs/>
      <w:sz w:val="20"/>
      <w:szCs w:val="20"/>
    </w:rPr>
  </w:style>
  <w:style w:type="character" w:styleId="FollowedHyperlink">
    <w:name w:val="FollowedHyperlink"/>
    <w:rsid w:val="00107396"/>
    <w:rPr>
      <w:color w:val="800080"/>
      <w:u w:val="single"/>
    </w:rPr>
  </w:style>
  <w:style w:type="character" w:styleId="CommentReference">
    <w:name w:val="annotation reference"/>
    <w:semiHidden/>
    <w:rsid w:val="00BA1326"/>
    <w:rPr>
      <w:sz w:val="16"/>
      <w:szCs w:val="16"/>
    </w:rPr>
  </w:style>
  <w:style w:type="paragraph" w:styleId="CommentText">
    <w:name w:val="annotation text"/>
    <w:basedOn w:val="Normal"/>
    <w:semiHidden/>
    <w:rsid w:val="00BA1326"/>
    <w:rPr>
      <w:sz w:val="20"/>
      <w:szCs w:val="20"/>
    </w:rPr>
  </w:style>
  <w:style w:type="paragraph" w:styleId="CommentSubject">
    <w:name w:val="annotation subject"/>
    <w:basedOn w:val="CommentText"/>
    <w:next w:val="CommentText"/>
    <w:semiHidden/>
    <w:rsid w:val="00BA1326"/>
    <w:rPr>
      <w:b/>
      <w:bCs/>
    </w:rPr>
  </w:style>
  <w:style w:type="paragraph" w:styleId="BalloonText">
    <w:name w:val="Balloon Text"/>
    <w:basedOn w:val="Normal"/>
    <w:semiHidden/>
    <w:rsid w:val="00BA1326"/>
    <w:rPr>
      <w:rFonts w:ascii="Tahoma" w:hAnsi="Tahoma" w:cs="Tahoma"/>
      <w:sz w:val="16"/>
      <w:szCs w:val="16"/>
    </w:rPr>
  </w:style>
  <w:style w:type="table" w:styleId="TableElegant">
    <w:name w:val="Table Elegant"/>
    <w:basedOn w:val="TableNormal"/>
    <w:rsid w:val="0075397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Appendix">
    <w:name w:val="Heading 1 - Appendix"/>
    <w:basedOn w:val="Heading1"/>
    <w:next w:val="Normal"/>
    <w:qFormat/>
    <w:rsid w:val="00D12FA1"/>
    <w:pPr>
      <w:numPr>
        <w:numId w:val="17"/>
      </w:numPr>
      <w:spacing w:before="0"/>
      <w:contextualSpacing/>
    </w:pPr>
    <w:rPr>
      <w:kern w:val="0"/>
      <w:sz w:val="32"/>
      <w:szCs w:val="32"/>
      <w:lang w:val="en-IE"/>
    </w:rPr>
  </w:style>
  <w:style w:type="paragraph" w:customStyle="1" w:styleId="Tablenormal0">
    <w:name w:val="Table normal"/>
    <w:basedOn w:val="Normal"/>
    <w:rsid w:val="0075397A"/>
    <w:pPr>
      <w:contextualSpacing/>
      <w:jc w:val="both"/>
    </w:pPr>
    <w:rPr>
      <w:sz w:val="20"/>
      <w:szCs w:val="20"/>
      <w:lang w:val="en-IE"/>
    </w:rPr>
  </w:style>
  <w:style w:type="paragraph" w:styleId="ListParagraph">
    <w:name w:val="List Paragraph"/>
    <w:basedOn w:val="Normal"/>
    <w:uiPriority w:val="99"/>
    <w:qFormat/>
    <w:rsid w:val="00D12FA1"/>
    <w:pPr>
      <w:ind w:left="720"/>
    </w:pPr>
    <w:rPr>
      <w:lang w:val="en-IE" w:eastAsia="en-GB"/>
    </w:rPr>
  </w:style>
  <w:style w:type="paragraph" w:styleId="EndnoteText">
    <w:name w:val="endnote text"/>
    <w:basedOn w:val="Normal"/>
    <w:link w:val="EndnoteTextChar"/>
    <w:rsid w:val="000C2C2D"/>
    <w:rPr>
      <w:rFonts w:ascii="Times New Roman" w:hAnsi="Times New Roman"/>
      <w:sz w:val="20"/>
      <w:szCs w:val="20"/>
    </w:rPr>
  </w:style>
  <w:style w:type="character" w:customStyle="1" w:styleId="EndnoteTextChar">
    <w:name w:val="Endnote Text Char"/>
    <w:link w:val="EndnoteText"/>
    <w:rsid w:val="000C2C2D"/>
    <w:rPr>
      <w:lang w:val="en-GB" w:eastAsia="en-US"/>
    </w:rPr>
  </w:style>
  <w:style w:type="character" w:styleId="EndnoteReference">
    <w:name w:val="endnote reference"/>
    <w:rsid w:val="000C2C2D"/>
    <w:rPr>
      <w:vertAlign w:val="superscript"/>
    </w:rPr>
  </w:style>
  <w:style w:type="paragraph" w:styleId="FootnoteText">
    <w:name w:val="footnote text"/>
    <w:basedOn w:val="Normal"/>
    <w:link w:val="FootnoteTextChar"/>
    <w:rsid w:val="00B61E45"/>
    <w:rPr>
      <w:rFonts w:ascii="Times New Roman" w:hAnsi="Times New Roman"/>
      <w:sz w:val="20"/>
      <w:szCs w:val="20"/>
    </w:rPr>
  </w:style>
  <w:style w:type="character" w:customStyle="1" w:styleId="FootnoteTextChar">
    <w:name w:val="Footnote Text Char"/>
    <w:link w:val="FootnoteText"/>
    <w:rsid w:val="00B61E45"/>
    <w:rPr>
      <w:lang w:val="en-GB" w:eastAsia="en-US"/>
    </w:rPr>
  </w:style>
  <w:style w:type="character" w:styleId="FootnoteReference">
    <w:name w:val="footnote reference"/>
    <w:rsid w:val="00B61E45"/>
    <w:rPr>
      <w:vertAlign w:val="superscript"/>
    </w:rPr>
  </w:style>
  <w:style w:type="paragraph" w:customStyle="1" w:styleId="EndNoteBibliographyTitle">
    <w:name w:val="EndNote Bibliography Title"/>
    <w:basedOn w:val="Normal"/>
    <w:link w:val="EndNoteBibliographyTitleChar"/>
    <w:rsid w:val="00AD79AD"/>
    <w:pPr>
      <w:jc w:val="center"/>
    </w:pPr>
    <w:rPr>
      <w:rFonts w:ascii="Times New Roman" w:hAnsi="Times New Roman"/>
      <w:noProof/>
      <w:lang w:val="en-US"/>
    </w:rPr>
  </w:style>
  <w:style w:type="character" w:customStyle="1" w:styleId="EndNoteBibliographyTitleChar">
    <w:name w:val="EndNote Bibliography Title Char"/>
    <w:link w:val="EndNoteBibliographyTitle"/>
    <w:rsid w:val="00AD79AD"/>
    <w:rPr>
      <w:noProof/>
      <w:sz w:val="24"/>
      <w:szCs w:val="24"/>
      <w:lang w:val="en-US" w:eastAsia="en-US"/>
    </w:rPr>
  </w:style>
  <w:style w:type="paragraph" w:customStyle="1" w:styleId="EndNoteBibliography">
    <w:name w:val="EndNote Bibliography"/>
    <w:basedOn w:val="Normal"/>
    <w:link w:val="EndNoteBibliographyChar"/>
    <w:rsid w:val="00AD79AD"/>
    <w:pPr>
      <w:jc w:val="both"/>
    </w:pPr>
    <w:rPr>
      <w:rFonts w:ascii="Times New Roman" w:hAnsi="Times New Roman"/>
      <w:noProof/>
      <w:lang w:val="en-US"/>
    </w:rPr>
  </w:style>
  <w:style w:type="character" w:customStyle="1" w:styleId="EndNoteBibliographyChar">
    <w:name w:val="EndNote Bibliography Char"/>
    <w:link w:val="EndNoteBibliography"/>
    <w:rsid w:val="00AD79AD"/>
    <w:rPr>
      <w:noProof/>
      <w:sz w:val="24"/>
      <w:szCs w:val="24"/>
      <w:lang w:val="en-US" w:eastAsia="en-US"/>
    </w:rPr>
  </w:style>
  <w:style w:type="paragraph" w:styleId="Revision">
    <w:name w:val="Revision"/>
    <w:hidden/>
    <w:uiPriority w:val="99"/>
    <w:semiHidden/>
    <w:rsid w:val="00203425"/>
    <w:rPr>
      <w:rFonts w:ascii="Arial" w:hAnsi="Arial"/>
      <w:sz w:val="24"/>
      <w:szCs w:val="24"/>
      <w:lang w:val="en-GB" w:eastAsia="en-US"/>
    </w:rPr>
  </w:style>
  <w:style w:type="character" w:customStyle="1" w:styleId="TitleChar">
    <w:name w:val="Title Char"/>
    <w:basedOn w:val="DefaultParagraphFont"/>
    <w:link w:val="Title"/>
    <w:rsid w:val="00152D3A"/>
    <w:rPr>
      <w:rFonts w:asciiTheme="minorHAnsi" w:hAnsiTheme="minorHAnsi" w:cs="Arial"/>
      <w:b/>
      <w:bCs/>
      <w:color w:val="000000" w:themeColor="text1"/>
      <w:kern w:val="28"/>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17">
      <w:bodyDiv w:val="1"/>
      <w:marLeft w:val="0"/>
      <w:marRight w:val="0"/>
      <w:marTop w:val="0"/>
      <w:marBottom w:val="0"/>
      <w:divBdr>
        <w:top w:val="none" w:sz="0" w:space="0" w:color="auto"/>
        <w:left w:val="none" w:sz="0" w:space="0" w:color="auto"/>
        <w:bottom w:val="none" w:sz="0" w:space="0" w:color="auto"/>
        <w:right w:val="none" w:sz="0" w:space="0" w:color="auto"/>
      </w:divBdr>
    </w:div>
    <w:div w:id="185487016">
      <w:bodyDiv w:val="1"/>
      <w:marLeft w:val="0"/>
      <w:marRight w:val="0"/>
      <w:marTop w:val="0"/>
      <w:marBottom w:val="0"/>
      <w:divBdr>
        <w:top w:val="none" w:sz="0" w:space="0" w:color="auto"/>
        <w:left w:val="none" w:sz="0" w:space="0" w:color="auto"/>
        <w:bottom w:val="none" w:sz="0" w:space="0" w:color="auto"/>
        <w:right w:val="none" w:sz="0" w:space="0" w:color="auto"/>
      </w:divBdr>
    </w:div>
    <w:div w:id="325399207">
      <w:bodyDiv w:val="1"/>
      <w:marLeft w:val="0"/>
      <w:marRight w:val="0"/>
      <w:marTop w:val="0"/>
      <w:marBottom w:val="0"/>
      <w:divBdr>
        <w:top w:val="none" w:sz="0" w:space="0" w:color="auto"/>
        <w:left w:val="none" w:sz="0" w:space="0" w:color="auto"/>
        <w:bottom w:val="none" w:sz="0" w:space="0" w:color="auto"/>
        <w:right w:val="none" w:sz="0" w:space="0" w:color="auto"/>
      </w:divBdr>
    </w:div>
    <w:div w:id="483667021">
      <w:bodyDiv w:val="1"/>
      <w:marLeft w:val="0"/>
      <w:marRight w:val="0"/>
      <w:marTop w:val="0"/>
      <w:marBottom w:val="0"/>
      <w:divBdr>
        <w:top w:val="none" w:sz="0" w:space="0" w:color="auto"/>
        <w:left w:val="none" w:sz="0" w:space="0" w:color="auto"/>
        <w:bottom w:val="none" w:sz="0" w:space="0" w:color="auto"/>
        <w:right w:val="none" w:sz="0" w:space="0" w:color="auto"/>
      </w:divBdr>
      <w:divsChild>
        <w:div w:id="792594256">
          <w:marLeft w:val="0"/>
          <w:marRight w:val="0"/>
          <w:marTop w:val="0"/>
          <w:marBottom w:val="0"/>
          <w:divBdr>
            <w:top w:val="none" w:sz="0" w:space="0" w:color="auto"/>
            <w:left w:val="none" w:sz="0" w:space="0" w:color="auto"/>
            <w:bottom w:val="none" w:sz="0" w:space="0" w:color="auto"/>
            <w:right w:val="none" w:sz="0" w:space="0" w:color="auto"/>
          </w:divBdr>
          <w:divsChild>
            <w:div w:id="2067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4724">
      <w:bodyDiv w:val="1"/>
      <w:marLeft w:val="0"/>
      <w:marRight w:val="0"/>
      <w:marTop w:val="0"/>
      <w:marBottom w:val="0"/>
      <w:divBdr>
        <w:top w:val="none" w:sz="0" w:space="0" w:color="auto"/>
        <w:left w:val="none" w:sz="0" w:space="0" w:color="auto"/>
        <w:bottom w:val="none" w:sz="0" w:space="0" w:color="auto"/>
        <w:right w:val="none" w:sz="0" w:space="0" w:color="auto"/>
      </w:divBdr>
    </w:div>
    <w:div w:id="535777816">
      <w:bodyDiv w:val="1"/>
      <w:marLeft w:val="0"/>
      <w:marRight w:val="0"/>
      <w:marTop w:val="0"/>
      <w:marBottom w:val="0"/>
      <w:divBdr>
        <w:top w:val="none" w:sz="0" w:space="0" w:color="auto"/>
        <w:left w:val="none" w:sz="0" w:space="0" w:color="auto"/>
        <w:bottom w:val="none" w:sz="0" w:space="0" w:color="auto"/>
        <w:right w:val="none" w:sz="0" w:space="0" w:color="auto"/>
      </w:divBdr>
    </w:div>
    <w:div w:id="537087625">
      <w:bodyDiv w:val="1"/>
      <w:marLeft w:val="0"/>
      <w:marRight w:val="0"/>
      <w:marTop w:val="0"/>
      <w:marBottom w:val="0"/>
      <w:divBdr>
        <w:top w:val="none" w:sz="0" w:space="0" w:color="auto"/>
        <w:left w:val="none" w:sz="0" w:space="0" w:color="auto"/>
        <w:bottom w:val="none" w:sz="0" w:space="0" w:color="auto"/>
        <w:right w:val="none" w:sz="0" w:space="0" w:color="auto"/>
      </w:divBdr>
    </w:div>
    <w:div w:id="541097756">
      <w:bodyDiv w:val="1"/>
      <w:marLeft w:val="0"/>
      <w:marRight w:val="0"/>
      <w:marTop w:val="0"/>
      <w:marBottom w:val="0"/>
      <w:divBdr>
        <w:top w:val="none" w:sz="0" w:space="0" w:color="auto"/>
        <w:left w:val="none" w:sz="0" w:space="0" w:color="auto"/>
        <w:bottom w:val="none" w:sz="0" w:space="0" w:color="auto"/>
        <w:right w:val="none" w:sz="0" w:space="0" w:color="auto"/>
      </w:divBdr>
    </w:div>
    <w:div w:id="687364619">
      <w:bodyDiv w:val="1"/>
      <w:marLeft w:val="0"/>
      <w:marRight w:val="0"/>
      <w:marTop w:val="0"/>
      <w:marBottom w:val="0"/>
      <w:divBdr>
        <w:top w:val="none" w:sz="0" w:space="0" w:color="auto"/>
        <w:left w:val="none" w:sz="0" w:space="0" w:color="auto"/>
        <w:bottom w:val="none" w:sz="0" w:space="0" w:color="auto"/>
        <w:right w:val="none" w:sz="0" w:space="0" w:color="auto"/>
      </w:divBdr>
    </w:div>
    <w:div w:id="849370640">
      <w:bodyDiv w:val="1"/>
      <w:marLeft w:val="0"/>
      <w:marRight w:val="0"/>
      <w:marTop w:val="0"/>
      <w:marBottom w:val="0"/>
      <w:divBdr>
        <w:top w:val="none" w:sz="0" w:space="0" w:color="auto"/>
        <w:left w:val="none" w:sz="0" w:space="0" w:color="auto"/>
        <w:bottom w:val="none" w:sz="0" w:space="0" w:color="auto"/>
        <w:right w:val="none" w:sz="0" w:space="0" w:color="auto"/>
      </w:divBdr>
    </w:div>
    <w:div w:id="985087348">
      <w:bodyDiv w:val="1"/>
      <w:marLeft w:val="0"/>
      <w:marRight w:val="0"/>
      <w:marTop w:val="0"/>
      <w:marBottom w:val="0"/>
      <w:divBdr>
        <w:top w:val="none" w:sz="0" w:space="0" w:color="auto"/>
        <w:left w:val="none" w:sz="0" w:space="0" w:color="auto"/>
        <w:bottom w:val="none" w:sz="0" w:space="0" w:color="auto"/>
        <w:right w:val="none" w:sz="0" w:space="0" w:color="auto"/>
      </w:divBdr>
    </w:div>
    <w:div w:id="1167476195">
      <w:bodyDiv w:val="1"/>
      <w:marLeft w:val="0"/>
      <w:marRight w:val="0"/>
      <w:marTop w:val="0"/>
      <w:marBottom w:val="0"/>
      <w:divBdr>
        <w:top w:val="none" w:sz="0" w:space="0" w:color="auto"/>
        <w:left w:val="none" w:sz="0" w:space="0" w:color="auto"/>
        <w:bottom w:val="none" w:sz="0" w:space="0" w:color="auto"/>
        <w:right w:val="none" w:sz="0" w:space="0" w:color="auto"/>
      </w:divBdr>
    </w:div>
    <w:div w:id="1259556985">
      <w:bodyDiv w:val="1"/>
      <w:marLeft w:val="0"/>
      <w:marRight w:val="0"/>
      <w:marTop w:val="0"/>
      <w:marBottom w:val="0"/>
      <w:divBdr>
        <w:top w:val="none" w:sz="0" w:space="0" w:color="auto"/>
        <w:left w:val="none" w:sz="0" w:space="0" w:color="auto"/>
        <w:bottom w:val="none" w:sz="0" w:space="0" w:color="auto"/>
        <w:right w:val="none" w:sz="0" w:space="0" w:color="auto"/>
      </w:divBdr>
    </w:div>
    <w:div w:id="1459837839">
      <w:bodyDiv w:val="1"/>
      <w:marLeft w:val="0"/>
      <w:marRight w:val="0"/>
      <w:marTop w:val="0"/>
      <w:marBottom w:val="0"/>
      <w:divBdr>
        <w:top w:val="none" w:sz="0" w:space="0" w:color="auto"/>
        <w:left w:val="none" w:sz="0" w:space="0" w:color="auto"/>
        <w:bottom w:val="none" w:sz="0" w:space="0" w:color="auto"/>
        <w:right w:val="none" w:sz="0" w:space="0" w:color="auto"/>
      </w:divBdr>
    </w:div>
    <w:div w:id="1478374360">
      <w:bodyDiv w:val="1"/>
      <w:marLeft w:val="0"/>
      <w:marRight w:val="0"/>
      <w:marTop w:val="0"/>
      <w:marBottom w:val="0"/>
      <w:divBdr>
        <w:top w:val="none" w:sz="0" w:space="0" w:color="auto"/>
        <w:left w:val="none" w:sz="0" w:space="0" w:color="auto"/>
        <w:bottom w:val="none" w:sz="0" w:space="0" w:color="auto"/>
        <w:right w:val="none" w:sz="0" w:space="0" w:color="auto"/>
      </w:divBdr>
    </w:div>
    <w:div w:id="1525284940">
      <w:bodyDiv w:val="1"/>
      <w:marLeft w:val="0"/>
      <w:marRight w:val="0"/>
      <w:marTop w:val="0"/>
      <w:marBottom w:val="0"/>
      <w:divBdr>
        <w:top w:val="none" w:sz="0" w:space="0" w:color="auto"/>
        <w:left w:val="none" w:sz="0" w:space="0" w:color="auto"/>
        <w:bottom w:val="none" w:sz="0" w:space="0" w:color="auto"/>
        <w:right w:val="none" w:sz="0" w:space="0" w:color="auto"/>
      </w:divBdr>
    </w:div>
    <w:div w:id="1646426199">
      <w:bodyDiv w:val="1"/>
      <w:marLeft w:val="0"/>
      <w:marRight w:val="0"/>
      <w:marTop w:val="0"/>
      <w:marBottom w:val="0"/>
      <w:divBdr>
        <w:top w:val="none" w:sz="0" w:space="0" w:color="auto"/>
        <w:left w:val="none" w:sz="0" w:space="0" w:color="auto"/>
        <w:bottom w:val="none" w:sz="0" w:space="0" w:color="auto"/>
        <w:right w:val="none" w:sz="0" w:space="0" w:color="auto"/>
      </w:divBdr>
    </w:div>
    <w:div w:id="2026711460">
      <w:bodyDiv w:val="1"/>
      <w:marLeft w:val="0"/>
      <w:marRight w:val="0"/>
      <w:marTop w:val="0"/>
      <w:marBottom w:val="0"/>
      <w:divBdr>
        <w:top w:val="none" w:sz="0" w:space="0" w:color="auto"/>
        <w:left w:val="none" w:sz="0" w:space="0" w:color="auto"/>
        <w:bottom w:val="none" w:sz="0" w:space="0" w:color="auto"/>
        <w:right w:val="none" w:sz="0" w:space="0" w:color="auto"/>
      </w:divBdr>
    </w:div>
    <w:div w:id="20322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cologydrugs@cancercontrol.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hse.ie/eng/services/list/5/cancer/profinfo/medonc/sactguidance/" TargetMode="External"/><Relationship Id="rId1" Type="http://schemas.openxmlformats.org/officeDocument/2006/relationships/hyperlink" Target="http://www.hse.ie/eng/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E35C9-1F1B-40EE-964F-77BEDEB3B5C1}">
  <ds:schemaRefs>
    <ds:schemaRef ds:uri="http://schemas.openxmlformats.org/officeDocument/2006/bibliography"/>
  </ds:schemaRefs>
</ds:datastoreItem>
</file>

<file path=customXml/itemProps2.xml><?xml version="1.0" encoding="utf-8"?>
<ds:datastoreItem xmlns:ds="http://schemas.openxmlformats.org/officeDocument/2006/customXml" ds:itemID="{8A27A49F-E2C8-4067-A602-D40478A1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1728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ACU TEMP SOP107 SACT Spillage</vt:lpstr>
    </vt:vector>
  </TitlesOfParts>
  <Company>NCCP</Company>
  <LinksUpToDate>false</LinksUpToDate>
  <CharactersWithSpaces>10877</CharactersWithSpaces>
  <SharedDoc>false</SharedDoc>
  <HLinks>
    <vt:vector size="168" baseType="variant">
      <vt:variant>
        <vt:i4>1245253</vt:i4>
      </vt:variant>
      <vt:variant>
        <vt:i4>156</vt:i4>
      </vt:variant>
      <vt:variant>
        <vt:i4>0</vt:i4>
      </vt:variant>
      <vt:variant>
        <vt:i4>5</vt:i4>
      </vt:variant>
      <vt:variant>
        <vt:lpwstr>https://www.nice.org.uk/advice/ktt22/chapter/Evidence-context</vt:lpwstr>
      </vt:variant>
      <vt:variant>
        <vt:lpwstr/>
      </vt:variant>
      <vt:variant>
        <vt:i4>3145828</vt:i4>
      </vt:variant>
      <vt:variant>
        <vt:i4>153</vt:i4>
      </vt:variant>
      <vt:variant>
        <vt:i4>0</vt:i4>
      </vt:variant>
      <vt:variant>
        <vt:i4>5</vt:i4>
      </vt:variant>
      <vt:variant>
        <vt:lpwstr>https://www.ncri.ie/sites/ncri/files/pubs/CancerIncidenceProjections_NCRI_fullreport_09042019_final.pdf</vt:lpwstr>
      </vt:variant>
      <vt:variant>
        <vt:lpwstr/>
      </vt:variant>
      <vt:variant>
        <vt:i4>196634</vt:i4>
      </vt:variant>
      <vt:variant>
        <vt:i4>150</vt:i4>
      </vt:variant>
      <vt:variant>
        <vt:i4>0</vt:i4>
      </vt:variant>
      <vt:variant>
        <vt:i4>5</vt:i4>
      </vt:variant>
      <vt:variant>
        <vt:lpwstr>https://www.ncri.ie/sites/ncri/files/pubs/Cancer projections for Ireland 2015 - 2040.pdf</vt:lpwstr>
      </vt:variant>
      <vt:variant>
        <vt:lpwstr/>
      </vt:variant>
      <vt:variant>
        <vt:i4>327706</vt:i4>
      </vt:variant>
      <vt:variant>
        <vt:i4>147</vt:i4>
      </vt:variant>
      <vt:variant>
        <vt:i4>0</vt:i4>
      </vt:variant>
      <vt:variant>
        <vt:i4>5</vt:i4>
      </vt:variant>
      <vt:variant>
        <vt:lpwstr>https://www.hse.ie/eng/services/list/5/cancer/profinfo/medonc/safetyreview/oncreview.pdf</vt:lpwstr>
      </vt:variant>
      <vt:variant>
        <vt:lpwstr/>
      </vt:variant>
      <vt:variant>
        <vt:i4>327706</vt:i4>
      </vt:variant>
      <vt:variant>
        <vt:i4>144</vt:i4>
      </vt:variant>
      <vt:variant>
        <vt:i4>0</vt:i4>
      </vt:variant>
      <vt:variant>
        <vt:i4>5</vt:i4>
      </vt:variant>
      <vt:variant>
        <vt:lpwstr>https://www.hse.ie/eng/services/list/5/cancer/profinfo/medonc/safetyreview/oncreview.pdf</vt:lpwstr>
      </vt:variant>
      <vt:variant>
        <vt:lpwstr/>
      </vt:variant>
      <vt:variant>
        <vt:i4>2818048</vt:i4>
      </vt:variant>
      <vt:variant>
        <vt:i4>134</vt:i4>
      </vt:variant>
      <vt:variant>
        <vt:i4>0</vt:i4>
      </vt:variant>
      <vt:variant>
        <vt:i4>5</vt:i4>
      </vt:variant>
      <vt:variant>
        <vt:lpwstr/>
      </vt:variant>
      <vt:variant>
        <vt:lpwstr>_Toc8217990</vt:lpwstr>
      </vt:variant>
      <vt:variant>
        <vt:i4>2752512</vt:i4>
      </vt:variant>
      <vt:variant>
        <vt:i4>128</vt:i4>
      </vt:variant>
      <vt:variant>
        <vt:i4>0</vt:i4>
      </vt:variant>
      <vt:variant>
        <vt:i4>5</vt:i4>
      </vt:variant>
      <vt:variant>
        <vt:lpwstr/>
      </vt:variant>
      <vt:variant>
        <vt:lpwstr>_Toc8217989</vt:lpwstr>
      </vt:variant>
      <vt:variant>
        <vt:i4>2752512</vt:i4>
      </vt:variant>
      <vt:variant>
        <vt:i4>122</vt:i4>
      </vt:variant>
      <vt:variant>
        <vt:i4>0</vt:i4>
      </vt:variant>
      <vt:variant>
        <vt:i4>5</vt:i4>
      </vt:variant>
      <vt:variant>
        <vt:lpwstr/>
      </vt:variant>
      <vt:variant>
        <vt:lpwstr>_Toc8217988</vt:lpwstr>
      </vt:variant>
      <vt:variant>
        <vt:i4>2752512</vt:i4>
      </vt:variant>
      <vt:variant>
        <vt:i4>116</vt:i4>
      </vt:variant>
      <vt:variant>
        <vt:i4>0</vt:i4>
      </vt:variant>
      <vt:variant>
        <vt:i4>5</vt:i4>
      </vt:variant>
      <vt:variant>
        <vt:lpwstr/>
      </vt:variant>
      <vt:variant>
        <vt:lpwstr>_Toc8217987</vt:lpwstr>
      </vt:variant>
      <vt:variant>
        <vt:i4>2752512</vt:i4>
      </vt:variant>
      <vt:variant>
        <vt:i4>110</vt:i4>
      </vt:variant>
      <vt:variant>
        <vt:i4>0</vt:i4>
      </vt:variant>
      <vt:variant>
        <vt:i4>5</vt:i4>
      </vt:variant>
      <vt:variant>
        <vt:lpwstr/>
      </vt:variant>
      <vt:variant>
        <vt:lpwstr>_Toc8217986</vt:lpwstr>
      </vt:variant>
      <vt:variant>
        <vt:i4>2752512</vt:i4>
      </vt:variant>
      <vt:variant>
        <vt:i4>104</vt:i4>
      </vt:variant>
      <vt:variant>
        <vt:i4>0</vt:i4>
      </vt:variant>
      <vt:variant>
        <vt:i4>5</vt:i4>
      </vt:variant>
      <vt:variant>
        <vt:lpwstr/>
      </vt:variant>
      <vt:variant>
        <vt:lpwstr>_Toc8217985</vt:lpwstr>
      </vt:variant>
      <vt:variant>
        <vt:i4>2752512</vt:i4>
      </vt:variant>
      <vt:variant>
        <vt:i4>98</vt:i4>
      </vt:variant>
      <vt:variant>
        <vt:i4>0</vt:i4>
      </vt:variant>
      <vt:variant>
        <vt:i4>5</vt:i4>
      </vt:variant>
      <vt:variant>
        <vt:lpwstr/>
      </vt:variant>
      <vt:variant>
        <vt:lpwstr>_Toc8217984</vt:lpwstr>
      </vt:variant>
      <vt:variant>
        <vt:i4>2752512</vt:i4>
      </vt:variant>
      <vt:variant>
        <vt:i4>92</vt:i4>
      </vt:variant>
      <vt:variant>
        <vt:i4>0</vt:i4>
      </vt:variant>
      <vt:variant>
        <vt:i4>5</vt:i4>
      </vt:variant>
      <vt:variant>
        <vt:lpwstr/>
      </vt:variant>
      <vt:variant>
        <vt:lpwstr>_Toc8217983</vt:lpwstr>
      </vt:variant>
      <vt:variant>
        <vt:i4>2752512</vt:i4>
      </vt:variant>
      <vt:variant>
        <vt:i4>86</vt:i4>
      </vt:variant>
      <vt:variant>
        <vt:i4>0</vt:i4>
      </vt:variant>
      <vt:variant>
        <vt:i4>5</vt:i4>
      </vt:variant>
      <vt:variant>
        <vt:lpwstr/>
      </vt:variant>
      <vt:variant>
        <vt:lpwstr>_Toc8217982</vt:lpwstr>
      </vt:variant>
      <vt:variant>
        <vt:i4>2752512</vt:i4>
      </vt:variant>
      <vt:variant>
        <vt:i4>80</vt:i4>
      </vt:variant>
      <vt:variant>
        <vt:i4>0</vt:i4>
      </vt:variant>
      <vt:variant>
        <vt:i4>5</vt:i4>
      </vt:variant>
      <vt:variant>
        <vt:lpwstr/>
      </vt:variant>
      <vt:variant>
        <vt:lpwstr>_Toc8217981</vt:lpwstr>
      </vt:variant>
      <vt:variant>
        <vt:i4>2752512</vt:i4>
      </vt:variant>
      <vt:variant>
        <vt:i4>74</vt:i4>
      </vt:variant>
      <vt:variant>
        <vt:i4>0</vt:i4>
      </vt:variant>
      <vt:variant>
        <vt:i4>5</vt:i4>
      </vt:variant>
      <vt:variant>
        <vt:lpwstr/>
      </vt:variant>
      <vt:variant>
        <vt:lpwstr>_Toc8217980</vt:lpwstr>
      </vt:variant>
      <vt:variant>
        <vt:i4>2424832</vt:i4>
      </vt:variant>
      <vt:variant>
        <vt:i4>68</vt:i4>
      </vt:variant>
      <vt:variant>
        <vt:i4>0</vt:i4>
      </vt:variant>
      <vt:variant>
        <vt:i4>5</vt:i4>
      </vt:variant>
      <vt:variant>
        <vt:lpwstr/>
      </vt:variant>
      <vt:variant>
        <vt:lpwstr>_Toc8217979</vt:lpwstr>
      </vt:variant>
      <vt:variant>
        <vt:i4>2424832</vt:i4>
      </vt:variant>
      <vt:variant>
        <vt:i4>62</vt:i4>
      </vt:variant>
      <vt:variant>
        <vt:i4>0</vt:i4>
      </vt:variant>
      <vt:variant>
        <vt:i4>5</vt:i4>
      </vt:variant>
      <vt:variant>
        <vt:lpwstr/>
      </vt:variant>
      <vt:variant>
        <vt:lpwstr>_Toc8217978</vt:lpwstr>
      </vt:variant>
      <vt:variant>
        <vt:i4>2424832</vt:i4>
      </vt:variant>
      <vt:variant>
        <vt:i4>56</vt:i4>
      </vt:variant>
      <vt:variant>
        <vt:i4>0</vt:i4>
      </vt:variant>
      <vt:variant>
        <vt:i4>5</vt:i4>
      </vt:variant>
      <vt:variant>
        <vt:lpwstr/>
      </vt:variant>
      <vt:variant>
        <vt:lpwstr>_Toc8217977</vt:lpwstr>
      </vt:variant>
      <vt:variant>
        <vt:i4>2424832</vt:i4>
      </vt:variant>
      <vt:variant>
        <vt:i4>50</vt:i4>
      </vt:variant>
      <vt:variant>
        <vt:i4>0</vt:i4>
      </vt:variant>
      <vt:variant>
        <vt:i4>5</vt:i4>
      </vt:variant>
      <vt:variant>
        <vt:lpwstr/>
      </vt:variant>
      <vt:variant>
        <vt:lpwstr>_Toc8217976</vt:lpwstr>
      </vt:variant>
      <vt:variant>
        <vt:i4>2424832</vt:i4>
      </vt:variant>
      <vt:variant>
        <vt:i4>44</vt:i4>
      </vt:variant>
      <vt:variant>
        <vt:i4>0</vt:i4>
      </vt:variant>
      <vt:variant>
        <vt:i4>5</vt:i4>
      </vt:variant>
      <vt:variant>
        <vt:lpwstr/>
      </vt:variant>
      <vt:variant>
        <vt:lpwstr>_Toc8217975</vt:lpwstr>
      </vt:variant>
      <vt:variant>
        <vt:i4>2424832</vt:i4>
      </vt:variant>
      <vt:variant>
        <vt:i4>38</vt:i4>
      </vt:variant>
      <vt:variant>
        <vt:i4>0</vt:i4>
      </vt:variant>
      <vt:variant>
        <vt:i4>5</vt:i4>
      </vt:variant>
      <vt:variant>
        <vt:lpwstr/>
      </vt:variant>
      <vt:variant>
        <vt:lpwstr>_Toc8217974</vt:lpwstr>
      </vt:variant>
      <vt:variant>
        <vt:i4>2424832</vt:i4>
      </vt:variant>
      <vt:variant>
        <vt:i4>32</vt:i4>
      </vt:variant>
      <vt:variant>
        <vt:i4>0</vt:i4>
      </vt:variant>
      <vt:variant>
        <vt:i4>5</vt:i4>
      </vt:variant>
      <vt:variant>
        <vt:lpwstr/>
      </vt:variant>
      <vt:variant>
        <vt:lpwstr>_Toc8217973</vt:lpwstr>
      </vt:variant>
      <vt:variant>
        <vt:i4>2424832</vt:i4>
      </vt:variant>
      <vt:variant>
        <vt:i4>26</vt:i4>
      </vt:variant>
      <vt:variant>
        <vt:i4>0</vt:i4>
      </vt:variant>
      <vt:variant>
        <vt:i4>5</vt:i4>
      </vt:variant>
      <vt:variant>
        <vt:lpwstr/>
      </vt:variant>
      <vt:variant>
        <vt:lpwstr>_Toc8217972</vt:lpwstr>
      </vt:variant>
      <vt:variant>
        <vt:i4>2424832</vt:i4>
      </vt:variant>
      <vt:variant>
        <vt:i4>20</vt:i4>
      </vt:variant>
      <vt:variant>
        <vt:i4>0</vt:i4>
      </vt:variant>
      <vt:variant>
        <vt:i4>5</vt:i4>
      </vt:variant>
      <vt:variant>
        <vt:lpwstr/>
      </vt:variant>
      <vt:variant>
        <vt:lpwstr>_Toc8217971</vt:lpwstr>
      </vt:variant>
      <vt:variant>
        <vt:i4>2424832</vt:i4>
      </vt:variant>
      <vt:variant>
        <vt:i4>14</vt:i4>
      </vt:variant>
      <vt:variant>
        <vt:i4>0</vt:i4>
      </vt:variant>
      <vt:variant>
        <vt:i4>5</vt:i4>
      </vt:variant>
      <vt:variant>
        <vt:lpwstr/>
      </vt:variant>
      <vt:variant>
        <vt:lpwstr>_Toc8217970</vt:lpwstr>
      </vt:variant>
      <vt:variant>
        <vt:i4>2359296</vt:i4>
      </vt:variant>
      <vt:variant>
        <vt:i4>8</vt:i4>
      </vt:variant>
      <vt:variant>
        <vt:i4>0</vt:i4>
      </vt:variant>
      <vt:variant>
        <vt:i4>5</vt:i4>
      </vt:variant>
      <vt:variant>
        <vt:lpwstr/>
      </vt:variant>
      <vt:variant>
        <vt:lpwstr>_Toc8217969</vt:lpwstr>
      </vt:variant>
      <vt:variant>
        <vt:i4>2359296</vt:i4>
      </vt:variant>
      <vt:variant>
        <vt:i4>2</vt:i4>
      </vt:variant>
      <vt:variant>
        <vt:i4>0</vt:i4>
      </vt:variant>
      <vt:variant>
        <vt:i4>5</vt:i4>
      </vt:variant>
      <vt:variant>
        <vt:lpwstr/>
      </vt:variant>
      <vt:variant>
        <vt:lpwstr>_Toc8217968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TEMP SOP107 SACT Spillage</dc:title>
  <dc:creator>patricia.heckmann@cancercontrol.ie;elizabeth.breen@cancercontrol.ie</dc:creator>
  <cp:lastModifiedBy>Martina Keegan 2</cp:lastModifiedBy>
  <cp:revision>7</cp:revision>
  <cp:lastPrinted>2019-08-22T11:50:00Z</cp:lastPrinted>
  <dcterms:created xsi:type="dcterms:W3CDTF">2023-10-24T11:44:00Z</dcterms:created>
  <dcterms:modified xsi:type="dcterms:W3CDTF">2023-10-26T10:50:00Z</dcterms:modified>
</cp:coreProperties>
</file>