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342283"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sz w:val="16"/>
          <w:szCs w:val="16"/>
        </w:rPr>
        <w:t xml:space="preserve">                                                                      </w:t>
      </w:r>
      <w:r>
        <w:rPr>
          <w:rFonts w:ascii="Verdana" w:hAnsi="Verdana" w:cs="Arial"/>
          <w:b/>
          <w:bCs/>
          <w:noProof/>
          <w:sz w:val="16"/>
          <w:szCs w:val="16"/>
          <w:lang w:val="en-GB" w:eastAsia="en-GB"/>
        </w:rPr>
        <w:drawing>
          <wp:inline distT="0" distB="0" distL="0" distR="0" wp14:anchorId="31C86088" wp14:editId="6F2C1F83">
            <wp:extent cx="2627630" cy="7499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749935"/>
                    </a:xfrm>
                    <a:prstGeom prst="rect">
                      <a:avLst/>
                    </a:prstGeom>
                    <a:noFill/>
                  </pic:spPr>
                </pic:pic>
              </a:graphicData>
            </a:graphic>
          </wp:inline>
        </w:drawing>
      </w:r>
    </w:p>
    <w:p w:rsidR="001D09DA" w:rsidRDefault="00342283" w:rsidP="00B14C43">
      <w:pPr>
        <w:rPr>
          <w:rFonts w:cs="Arial"/>
          <w:b/>
        </w:rPr>
      </w:pPr>
      <w:r>
        <w:rPr>
          <w:noProof/>
          <w:lang w:val="en-GB" w:eastAsia="en-GB"/>
        </w:rPr>
        <w:drawing>
          <wp:anchor distT="0" distB="0" distL="114300" distR="114300" simplePos="0" relativeHeight="251658752" behindDoc="0" locked="0" layoutInCell="1" allowOverlap="1" wp14:anchorId="1C40B743" wp14:editId="79C3440D">
            <wp:simplePos x="0" y="0"/>
            <wp:positionH relativeFrom="column">
              <wp:posOffset>-71755</wp:posOffset>
            </wp:positionH>
            <wp:positionV relativeFrom="paragraph">
              <wp:posOffset>255270</wp:posOffset>
            </wp:positionV>
            <wp:extent cx="1122045"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8040"/>
                    </a:xfrm>
                    <a:prstGeom prst="rect">
                      <a:avLst/>
                    </a:prstGeom>
                    <a:noFill/>
                  </pic:spPr>
                </pic:pic>
              </a:graphicData>
            </a:graphic>
          </wp:anchor>
        </w:drawing>
      </w:r>
      <w:r w:rsidR="003052F5">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0A4340" w:rsidRDefault="009A22D0" w:rsidP="000A4340">
      <w:pPr>
        <w:jc w:val="center"/>
        <w:rPr>
          <w:rFonts w:cs="Arial"/>
          <w:b/>
          <w:bCs/>
          <w:iCs/>
        </w:rPr>
      </w:pPr>
      <w:r>
        <w:rPr>
          <w:rFonts w:cs="Arial"/>
          <w:b/>
          <w:bCs/>
          <w:iCs/>
        </w:rPr>
        <w:t>N.007</w:t>
      </w:r>
      <w:r w:rsidR="00444B70">
        <w:rPr>
          <w:rFonts w:cs="Arial"/>
          <w:b/>
          <w:bCs/>
          <w:iCs/>
        </w:rPr>
        <w:t xml:space="preserve">.2024 Graduate Staff Nurse </w:t>
      </w:r>
      <w:r>
        <w:rPr>
          <w:rFonts w:cs="Arial"/>
          <w:b/>
          <w:bCs/>
          <w:iCs/>
        </w:rPr>
        <w:t>Mental Health</w:t>
      </w:r>
      <w:r w:rsidR="00444B70">
        <w:rPr>
          <w:rFonts w:cs="Arial"/>
          <w:b/>
          <w:bCs/>
          <w:iCs/>
        </w:rPr>
        <w:t xml:space="preserve"> </w:t>
      </w:r>
    </w:p>
    <w:p w:rsidR="00541A2C" w:rsidRPr="008F59BA" w:rsidRDefault="00342283" w:rsidP="00541A2C">
      <w:pPr>
        <w:jc w:val="center"/>
        <w:rPr>
          <w:rFonts w:cs="Arial"/>
          <w:b/>
        </w:rPr>
      </w:pPr>
      <w:r>
        <w:rPr>
          <w:rFonts w:cs="Arial"/>
          <w:b/>
          <w:iCs/>
          <w:color w:val="000000" w:themeColor="text1"/>
        </w:rPr>
        <w:t>CHO1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422BE8"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proofErr w:type="spellStart"/>
      <w:r w:rsidR="006158B7">
        <w:rPr>
          <w:rFonts w:cs="Arial"/>
        </w:rPr>
        <w:t>One</w:t>
      </w:r>
      <w:r w:rsidR="006158B7" w:rsidRPr="0020363A">
        <w:rPr>
          <w:rFonts w:cs="Arial"/>
        </w:rPr>
        <w:t>drive</w:t>
      </w:r>
      <w:proofErr w:type="spellEnd"/>
      <w:r w:rsidR="006158B7" w:rsidRPr="0020363A">
        <w:rPr>
          <w:rFonts w:cs="Arial"/>
        </w:rPr>
        <w:t xml:space="preserve">, Cloud, Dropbox, Google Drive </w:t>
      </w:r>
      <w:proofErr w:type="spellStart"/>
      <w:r w:rsidR="006158B7" w:rsidRPr="0020363A">
        <w:rPr>
          <w:rFonts w:cs="Arial"/>
        </w:rPr>
        <w:t>etc</w:t>
      </w:r>
      <w:proofErr w:type="spellEnd"/>
      <w:r w:rsidR="006158B7" w:rsidRPr="0020363A">
        <w:rPr>
          <w:rFonts w:cs="Arial"/>
        </w:rPr>
        <w:t xml:space="preserve">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lastRenderedPageBreak/>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 xml:space="preserve">It is your responsibility to ensure you have access to your emails. If you choose to use your work email </w:t>
      </w:r>
      <w:proofErr w:type="gramStart"/>
      <w:r>
        <w:rPr>
          <w:rFonts w:cs="Arial"/>
        </w:rPr>
        <w:t>addresses</w:t>
      </w:r>
      <w:proofErr w:type="gramEnd"/>
      <w:r>
        <w:rPr>
          <w:rFonts w:cs="Arial"/>
        </w:rPr>
        <w:t xml:space="preserve">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 xml:space="preserve">The criteria for the selection exercise are based on the requirements of the post as outlined in the job specification. </w:t>
      </w:r>
      <w:proofErr w:type="gramStart"/>
      <w:r>
        <w:rPr>
          <w:rFonts w:cs="Arial"/>
          <w:color w:val="000000"/>
        </w:rPr>
        <w:t>Therefore</w:t>
      </w:r>
      <w:proofErr w:type="gramEnd"/>
      <w:r>
        <w:rPr>
          <w:rFonts w:cs="Arial"/>
          <w:color w:val="000000"/>
        </w:rPr>
        <w:t xml:space="preserv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proofErr w:type="gramStart"/>
      <w:r>
        <w:rPr>
          <w:rFonts w:cs="Arial"/>
          <w:color w:val="000000"/>
        </w:rPr>
        <w:t>Therefore</w:t>
      </w:r>
      <w:proofErr w:type="gramEnd"/>
      <w:r>
        <w:rPr>
          <w:rFonts w:cs="Arial"/>
          <w:color w:val="000000"/>
        </w:rPr>
        <w:t xml:space="preserv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9A22D0" w:rsidP="00AF4ECC">
      <w:pPr>
        <w:pStyle w:val="NormalWeb"/>
        <w:rPr>
          <w:rFonts w:ascii="Arial" w:eastAsia="Times New Roman" w:hAnsi="Arial" w:cs="Arial"/>
          <w:bCs/>
          <w:sz w:val="20"/>
          <w:szCs w:val="20"/>
        </w:rPr>
      </w:pPr>
      <w:hyperlink r:id="rId10"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w:t>
      </w:r>
      <w:r w:rsidRPr="00067650">
        <w:rPr>
          <w:rFonts w:cs="Arial"/>
          <w:iCs/>
          <w:color w:val="000000" w:themeColor="text1"/>
        </w:rPr>
        <w:lastRenderedPageBreak/>
        <w:t xml:space="preserve">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5D5C10" w:rsidRPr="00890B75" w:rsidRDefault="005D5C10" w:rsidP="005D5C10">
      <w:pPr>
        <w:rPr>
          <w:rFonts w:cs="Arial"/>
        </w:rPr>
      </w:pPr>
    </w:p>
    <w:p w:rsidR="00CA5DD9" w:rsidRPr="00CA5DD9" w:rsidRDefault="00CA5DD9" w:rsidP="00CA5DD9">
      <w:pPr>
        <w:rPr>
          <w:rFonts w:cs="Arial"/>
          <w:b/>
          <w:bCs/>
          <w:iCs/>
          <w:color w:val="FF6600"/>
          <w:u w:val="single"/>
          <w:lang w:val="en-GB" w:eastAsia="en-GB"/>
        </w:rPr>
      </w:pPr>
    </w:p>
    <w:p w:rsidR="00444B70" w:rsidRDefault="00444B70" w:rsidP="00444B70">
      <w:pPr>
        <w:rPr>
          <w:rFonts w:cs="Arial"/>
          <w:b/>
          <w:bCs/>
          <w:iCs/>
        </w:rPr>
      </w:pPr>
      <w:r w:rsidRPr="009957BF">
        <w:rPr>
          <w:rFonts w:cs="Arial"/>
          <w:b/>
          <w:bCs/>
          <w:iCs/>
        </w:rPr>
        <w:t>1.</w:t>
      </w:r>
      <w:r>
        <w:rPr>
          <w:rFonts w:cs="Arial"/>
          <w:b/>
        </w:rPr>
        <w:t xml:space="preserve"> </w:t>
      </w:r>
      <w:r w:rsidRPr="00AF400F">
        <w:rPr>
          <w:rFonts w:cs="Arial"/>
          <w:b/>
          <w:bCs/>
          <w:iCs/>
        </w:rPr>
        <w:t>Candidates must have at the latest date of application:</w:t>
      </w:r>
    </w:p>
    <w:p w:rsidR="00444B70" w:rsidRDefault="00444B70" w:rsidP="00444B70">
      <w:pPr>
        <w:rPr>
          <w:rFonts w:cs="Arial"/>
          <w:b/>
          <w:bCs/>
          <w:iCs/>
        </w:rPr>
      </w:pPr>
    </w:p>
    <w:p w:rsidR="009A22D0" w:rsidRPr="009A22D0" w:rsidRDefault="009A22D0" w:rsidP="009A22D0">
      <w:pPr>
        <w:autoSpaceDE w:val="0"/>
        <w:autoSpaceDN w:val="0"/>
        <w:adjustRightInd w:val="0"/>
        <w:spacing w:line="240" w:lineRule="atLeast"/>
        <w:jc w:val="center"/>
        <w:rPr>
          <w:rFonts w:cs="Arial"/>
          <w:b/>
          <w:color w:val="000000" w:themeColor="text1"/>
        </w:rPr>
      </w:pPr>
      <w:bookmarkStart w:id="0" w:name="_GoBack"/>
      <w:bookmarkEnd w:id="0"/>
    </w:p>
    <w:p w:rsidR="009A22D0" w:rsidRPr="009A22D0" w:rsidRDefault="009A22D0" w:rsidP="009A22D0">
      <w:pPr>
        <w:autoSpaceDE w:val="0"/>
        <w:autoSpaceDN w:val="0"/>
        <w:adjustRightInd w:val="0"/>
        <w:spacing w:line="240" w:lineRule="atLeast"/>
        <w:jc w:val="center"/>
        <w:rPr>
          <w:rFonts w:cs="Arial"/>
          <w:b/>
          <w:color w:val="000000" w:themeColor="text1"/>
        </w:rPr>
      </w:pPr>
      <w:r w:rsidRPr="009A22D0">
        <w:rPr>
          <w:rFonts w:cs="Arial"/>
          <w:b/>
          <w:color w:val="000000" w:themeColor="text1"/>
        </w:rPr>
        <w:t>(a) Be registered in the Psychiatric Division of the Register of Nurses kept by An</w:t>
      </w:r>
    </w:p>
    <w:p w:rsidR="009A22D0" w:rsidRPr="009A22D0" w:rsidRDefault="009A22D0" w:rsidP="009A22D0">
      <w:pPr>
        <w:autoSpaceDE w:val="0"/>
        <w:autoSpaceDN w:val="0"/>
        <w:adjustRightInd w:val="0"/>
        <w:spacing w:line="240" w:lineRule="atLeast"/>
        <w:jc w:val="center"/>
        <w:rPr>
          <w:rFonts w:cs="Arial"/>
          <w:b/>
          <w:color w:val="000000" w:themeColor="text1"/>
        </w:rPr>
      </w:pPr>
      <w:proofErr w:type="spellStart"/>
      <w:r w:rsidRPr="009A22D0">
        <w:rPr>
          <w:rFonts w:cs="Arial"/>
          <w:b/>
          <w:color w:val="000000" w:themeColor="text1"/>
        </w:rPr>
        <w:t>Bord</w:t>
      </w:r>
      <w:proofErr w:type="spellEnd"/>
      <w:r w:rsidRPr="009A22D0">
        <w:rPr>
          <w:rFonts w:cs="Arial"/>
          <w:b/>
          <w:color w:val="000000" w:themeColor="text1"/>
        </w:rPr>
        <w:t xml:space="preserve"> </w:t>
      </w:r>
      <w:proofErr w:type="spellStart"/>
      <w:r w:rsidRPr="009A22D0">
        <w:rPr>
          <w:rFonts w:cs="Arial"/>
          <w:b/>
          <w:color w:val="000000" w:themeColor="text1"/>
        </w:rPr>
        <w:t>Altranais</w:t>
      </w:r>
      <w:proofErr w:type="spellEnd"/>
      <w:r w:rsidRPr="009A22D0">
        <w:rPr>
          <w:rFonts w:cs="Arial"/>
          <w:b/>
          <w:color w:val="000000" w:themeColor="text1"/>
        </w:rPr>
        <w:t xml:space="preserve"> or be entitled to be so registered;</w:t>
      </w:r>
    </w:p>
    <w:p w:rsidR="009A22D0" w:rsidRPr="009A22D0" w:rsidRDefault="009A22D0" w:rsidP="009A22D0">
      <w:pPr>
        <w:autoSpaceDE w:val="0"/>
        <w:autoSpaceDN w:val="0"/>
        <w:adjustRightInd w:val="0"/>
        <w:spacing w:line="240" w:lineRule="atLeast"/>
        <w:jc w:val="center"/>
        <w:rPr>
          <w:rFonts w:cs="Arial"/>
          <w:b/>
          <w:color w:val="000000" w:themeColor="text1"/>
          <w:u w:val="single"/>
        </w:rPr>
      </w:pPr>
      <w:r w:rsidRPr="009A22D0">
        <w:rPr>
          <w:rFonts w:cs="Arial"/>
          <w:b/>
          <w:color w:val="000000" w:themeColor="text1"/>
          <w:u w:val="single"/>
        </w:rPr>
        <w:t>and</w:t>
      </w:r>
    </w:p>
    <w:p w:rsidR="009A22D0" w:rsidRPr="009A22D0" w:rsidRDefault="009A22D0" w:rsidP="009A22D0">
      <w:pPr>
        <w:autoSpaceDE w:val="0"/>
        <w:autoSpaceDN w:val="0"/>
        <w:adjustRightInd w:val="0"/>
        <w:spacing w:line="240" w:lineRule="atLeast"/>
        <w:jc w:val="center"/>
        <w:rPr>
          <w:rFonts w:cs="Arial"/>
          <w:b/>
          <w:color w:val="000000" w:themeColor="text1"/>
        </w:rPr>
      </w:pPr>
      <w:r w:rsidRPr="009A22D0">
        <w:rPr>
          <w:rFonts w:cs="Arial"/>
          <w:b/>
          <w:color w:val="000000" w:themeColor="text1"/>
        </w:rPr>
        <w:t>(b) Have the clinical and administrative capacity to properly discharge the functions of the role.</w:t>
      </w:r>
    </w:p>
    <w:p w:rsidR="009A22D0" w:rsidRPr="009A22D0" w:rsidRDefault="009A22D0" w:rsidP="009A22D0">
      <w:pPr>
        <w:autoSpaceDE w:val="0"/>
        <w:autoSpaceDN w:val="0"/>
        <w:adjustRightInd w:val="0"/>
        <w:spacing w:line="240" w:lineRule="atLeast"/>
        <w:jc w:val="center"/>
        <w:rPr>
          <w:rFonts w:cs="Arial"/>
          <w:b/>
          <w:color w:val="000000" w:themeColor="text1"/>
        </w:rPr>
      </w:pPr>
    </w:p>
    <w:p w:rsidR="009A22D0" w:rsidRPr="009A22D0" w:rsidRDefault="009A22D0" w:rsidP="009A22D0">
      <w:pPr>
        <w:autoSpaceDE w:val="0"/>
        <w:autoSpaceDN w:val="0"/>
        <w:adjustRightInd w:val="0"/>
        <w:spacing w:line="240" w:lineRule="atLeast"/>
        <w:jc w:val="center"/>
        <w:rPr>
          <w:rFonts w:cs="Arial"/>
          <w:b/>
          <w:color w:val="000000" w:themeColor="text1"/>
        </w:rPr>
      </w:pPr>
      <w:r w:rsidRPr="009A22D0">
        <w:rPr>
          <w:rFonts w:cs="Arial"/>
          <w:b/>
          <w:i/>
          <w:color w:val="000000" w:themeColor="text1"/>
        </w:rPr>
        <w:t xml:space="preserve">Note: Post holders must maintain annual registration with </w:t>
      </w:r>
      <w:proofErr w:type="gramStart"/>
      <w:r w:rsidRPr="009A22D0">
        <w:rPr>
          <w:rFonts w:cs="Arial"/>
          <w:b/>
          <w:i/>
          <w:color w:val="000000" w:themeColor="text1"/>
        </w:rPr>
        <w:t>An</w:t>
      </w:r>
      <w:proofErr w:type="gramEnd"/>
      <w:r w:rsidRPr="009A22D0">
        <w:rPr>
          <w:rFonts w:cs="Arial"/>
          <w:b/>
          <w:i/>
          <w:color w:val="000000" w:themeColor="text1"/>
        </w:rPr>
        <w:t xml:space="preserve"> </w:t>
      </w:r>
      <w:proofErr w:type="spellStart"/>
      <w:r w:rsidRPr="009A22D0">
        <w:rPr>
          <w:rFonts w:cs="Arial"/>
          <w:b/>
          <w:i/>
          <w:color w:val="000000" w:themeColor="text1"/>
        </w:rPr>
        <w:t>Bord</w:t>
      </w:r>
      <w:proofErr w:type="spellEnd"/>
      <w:r w:rsidRPr="009A22D0">
        <w:rPr>
          <w:rFonts w:cs="Arial"/>
          <w:b/>
          <w:i/>
          <w:color w:val="000000" w:themeColor="text1"/>
        </w:rPr>
        <w:t xml:space="preserve"> </w:t>
      </w:r>
      <w:proofErr w:type="spellStart"/>
      <w:r w:rsidRPr="009A22D0">
        <w:rPr>
          <w:rFonts w:cs="Arial"/>
          <w:b/>
          <w:i/>
          <w:color w:val="000000" w:themeColor="text1"/>
        </w:rPr>
        <w:t>Altranais</w:t>
      </w:r>
      <w:proofErr w:type="spellEnd"/>
      <w:r w:rsidRPr="009A22D0">
        <w:rPr>
          <w:rFonts w:cs="Arial"/>
          <w:b/>
          <w:color w:val="000000" w:themeColor="text1"/>
        </w:rPr>
        <w:t>.</w:t>
      </w:r>
    </w:p>
    <w:p w:rsidR="009A22D0" w:rsidRPr="009A22D0" w:rsidRDefault="009A22D0" w:rsidP="009A22D0">
      <w:pPr>
        <w:autoSpaceDE w:val="0"/>
        <w:autoSpaceDN w:val="0"/>
        <w:adjustRightInd w:val="0"/>
        <w:spacing w:line="240" w:lineRule="atLeast"/>
        <w:jc w:val="center"/>
        <w:rPr>
          <w:rFonts w:cs="Arial"/>
          <w:b/>
          <w:color w:val="000000" w:themeColor="text1"/>
        </w:rPr>
      </w:pPr>
    </w:p>
    <w:p w:rsidR="009A22D0" w:rsidRPr="009A22D0" w:rsidRDefault="009A22D0" w:rsidP="009A22D0">
      <w:pPr>
        <w:autoSpaceDE w:val="0"/>
        <w:autoSpaceDN w:val="0"/>
        <w:adjustRightInd w:val="0"/>
        <w:spacing w:line="240" w:lineRule="atLeast"/>
        <w:jc w:val="center"/>
        <w:rPr>
          <w:rFonts w:cs="Arial"/>
          <w:b/>
          <w:color w:val="000000" w:themeColor="text1"/>
          <w:u w:val="single"/>
        </w:rPr>
      </w:pPr>
      <w:r w:rsidRPr="009A22D0">
        <w:rPr>
          <w:rFonts w:cs="Arial"/>
          <w:b/>
          <w:color w:val="000000" w:themeColor="text1"/>
          <w:u w:val="single"/>
        </w:rPr>
        <w:t>or</w:t>
      </w:r>
    </w:p>
    <w:p w:rsidR="009A22D0" w:rsidRPr="009A22D0" w:rsidRDefault="009A22D0" w:rsidP="009A22D0">
      <w:pPr>
        <w:autoSpaceDE w:val="0"/>
        <w:autoSpaceDN w:val="0"/>
        <w:adjustRightInd w:val="0"/>
        <w:spacing w:line="240" w:lineRule="atLeast"/>
        <w:jc w:val="center"/>
        <w:rPr>
          <w:rFonts w:cs="Arial"/>
          <w:b/>
          <w:color w:val="000000" w:themeColor="text1"/>
        </w:rPr>
      </w:pPr>
      <w:r w:rsidRPr="009A22D0">
        <w:rPr>
          <w:rFonts w:cs="Arial"/>
          <w:b/>
          <w:color w:val="000000" w:themeColor="text1"/>
        </w:rPr>
        <w:t>I am a current 4th year psychiatric nursing degree student undergoing the 36-week clinical placement and due to graduate in 2024.</w:t>
      </w:r>
    </w:p>
    <w:p w:rsidR="00444B70" w:rsidRPr="00F36A49" w:rsidRDefault="00444B70" w:rsidP="00444B70">
      <w:pPr>
        <w:pStyle w:val="Default"/>
        <w:ind w:left="397"/>
        <w:jc w:val="both"/>
        <w:rPr>
          <w:sz w:val="20"/>
          <w:szCs w:val="20"/>
        </w:rPr>
      </w:pPr>
    </w:p>
    <w:p w:rsidR="00444B70" w:rsidRPr="00F36A49" w:rsidRDefault="00444B70" w:rsidP="00444B70">
      <w:pPr>
        <w:pStyle w:val="Default"/>
        <w:ind w:left="397"/>
        <w:jc w:val="both"/>
        <w:rPr>
          <w:sz w:val="20"/>
          <w:szCs w:val="20"/>
        </w:rPr>
      </w:pPr>
      <w:r w:rsidRPr="00F36A49">
        <w:rPr>
          <w:b/>
          <w:bCs/>
          <w:sz w:val="20"/>
          <w:szCs w:val="20"/>
        </w:rPr>
        <w:t xml:space="preserve">Health </w:t>
      </w:r>
    </w:p>
    <w:p w:rsidR="00444B70" w:rsidRDefault="00444B70" w:rsidP="00444B70">
      <w:pPr>
        <w:pStyle w:val="Default"/>
        <w:ind w:left="397"/>
        <w:jc w:val="both"/>
        <w:rPr>
          <w:sz w:val="20"/>
          <w:szCs w:val="20"/>
        </w:rPr>
      </w:pPr>
      <w:r w:rsidRPr="00F36A49">
        <w:rPr>
          <w:sz w:val="20"/>
          <w:szCs w:val="2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44B70" w:rsidRPr="00F36A49" w:rsidRDefault="00444B70" w:rsidP="00444B70">
      <w:pPr>
        <w:pStyle w:val="Default"/>
        <w:ind w:left="397"/>
        <w:jc w:val="both"/>
        <w:rPr>
          <w:sz w:val="20"/>
          <w:szCs w:val="20"/>
        </w:rPr>
      </w:pPr>
    </w:p>
    <w:p w:rsidR="00444B70" w:rsidRPr="00F36A49" w:rsidRDefault="00444B70" w:rsidP="00444B70">
      <w:pPr>
        <w:pStyle w:val="Default"/>
        <w:ind w:left="397"/>
        <w:jc w:val="both"/>
        <w:rPr>
          <w:sz w:val="20"/>
          <w:szCs w:val="20"/>
        </w:rPr>
      </w:pPr>
      <w:r w:rsidRPr="00F36A49">
        <w:rPr>
          <w:b/>
          <w:bCs/>
          <w:sz w:val="20"/>
          <w:szCs w:val="20"/>
        </w:rPr>
        <w:t xml:space="preserve">Character </w:t>
      </w:r>
    </w:p>
    <w:p w:rsidR="00444B70" w:rsidRDefault="00444B70" w:rsidP="00444B70">
      <w:pPr>
        <w:pStyle w:val="Default"/>
        <w:ind w:left="397"/>
        <w:jc w:val="both"/>
        <w:rPr>
          <w:sz w:val="20"/>
          <w:szCs w:val="20"/>
        </w:rPr>
      </w:pPr>
      <w:r w:rsidRPr="00F36A49">
        <w:rPr>
          <w:sz w:val="20"/>
          <w:szCs w:val="20"/>
        </w:rPr>
        <w:t xml:space="preserve">Each candidate for and any person holding the office must be of good character. </w:t>
      </w:r>
    </w:p>
    <w:p w:rsidR="00444B70" w:rsidRPr="00F36A49" w:rsidRDefault="00444B70" w:rsidP="00444B70">
      <w:pPr>
        <w:pStyle w:val="Default"/>
        <w:ind w:left="397"/>
        <w:jc w:val="both"/>
        <w:rPr>
          <w:sz w:val="20"/>
          <w:szCs w:val="20"/>
        </w:rPr>
      </w:pPr>
    </w:p>
    <w:p w:rsidR="00444B70" w:rsidRDefault="00444B70" w:rsidP="00444B70">
      <w:pPr>
        <w:pStyle w:val="Default"/>
        <w:ind w:left="397"/>
        <w:jc w:val="both"/>
        <w:rPr>
          <w:b/>
          <w:bCs/>
          <w:sz w:val="20"/>
          <w:szCs w:val="20"/>
        </w:rPr>
      </w:pPr>
      <w:r w:rsidRPr="00F36A49">
        <w:rPr>
          <w:b/>
          <w:bCs/>
          <w:sz w:val="20"/>
          <w:szCs w:val="20"/>
        </w:rPr>
        <w:t xml:space="preserve">Age </w:t>
      </w:r>
    </w:p>
    <w:p w:rsidR="00444B70" w:rsidRPr="00F36A49" w:rsidRDefault="00444B70" w:rsidP="00444B70">
      <w:pPr>
        <w:ind w:left="397"/>
        <w:jc w:val="both"/>
        <w:textAlignment w:val="baseline"/>
        <w:rPr>
          <w:rFonts w:cs="Arial"/>
          <w:color w:val="212121"/>
        </w:rPr>
      </w:pPr>
      <w:r w:rsidRPr="00F36A49">
        <w:rPr>
          <w:rFonts w:cs="Arial"/>
        </w:rPr>
        <w:t xml:space="preserve">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 </w:t>
      </w:r>
    </w:p>
    <w:p w:rsidR="00444B70" w:rsidRPr="00F36A49" w:rsidRDefault="00444B70" w:rsidP="00444B70">
      <w:pPr>
        <w:pStyle w:val="Default"/>
        <w:ind w:left="397"/>
        <w:jc w:val="both"/>
        <w:rPr>
          <w:sz w:val="20"/>
          <w:szCs w:val="20"/>
        </w:rPr>
      </w:pPr>
    </w:p>
    <w:p w:rsidR="00444B70" w:rsidRDefault="00444B70" w:rsidP="00444B70">
      <w:pPr>
        <w:rPr>
          <w:rFonts w:cs="Arial"/>
          <w:b/>
        </w:rPr>
      </w:pPr>
    </w:p>
    <w:p w:rsidR="00444B70" w:rsidRDefault="00444B70" w:rsidP="00444B70">
      <w:pPr>
        <w:rPr>
          <w:rFonts w:cs="Arial"/>
          <w:b/>
          <w:bCs/>
          <w:iCs/>
        </w:rPr>
      </w:pPr>
      <w:r w:rsidRPr="00333DD5">
        <w:rPr>
          <w:rFonts w:cs="Arial"/>
          <w:b/>
          <w:bCs/>
          <w:iCs/>
        </w:rPr>
        <w:t>Post Specific Requirements</w:t>
      </w:r>
    </w:p>
    <w:p w:rsidR="00444B70" w:rsidRDefault="00444B70" w:rsidP="00444B70">
      <w:pPr>
        <w:rPr>
          <w:rFonts w:cs="Arial"/>
          <w:b/>
          <w:bCs/>
          <w:iCs/>
        </w:rPr>
      </w:pPr>
      <w:r>
        <w:rPr>
          <w:rFonts w:cs="Arial"/>
          <w:b/>
          <w:bCs/>
          <w:iCs/>
        </w:rPr>
        <w:tab/>
      </w:r>
      <w:r>
        <w:rPr>
          <w:rFonts w:cs="Arial"/>
          <w:b/>
          <w:bCs/>
          <w:iCs/>
        </w:rPr>
        <w:tab/>
      </w:r>
    </w:p>
    <w:p w:rsidR="00444B70" w:rsidRPr="00B90498" w:rsidRDefault="00444B70" w:rsidP="00444B70">
      <w:pPr>
        <w:rPr>
          <w:rFonts w:cs="Arial"/>
        </w:rPr>
      </w:pPr>
      <w:r w:rsidRPr="00B90498">
        <w:rPr>
          <w:rFonts w:cs="Arial"/>
        </w:rPr>
        <w:t>Demonstrate depth and breadth of experience in the area of mental health, as relevant to the post.</w:t>
      </w:r>
    </w:p>
    <w:p w:rsidR="00C92F3B" w:rsidRDefault="00C92F3B" w:rsidP="007E7670">
      <w:pPr>
        <w:pStyle w:val="ListParagraph"/>
        <w:contextualSpacing w:val="0"/>
        <w:rPr>
          <w:rFonts w:ascii="Arial" w:hAnsi="Arial" w:cs="Arial"/>
          <w:bCs/>
          <w:iCs/>
        </w:rPr>
      </w:pPr>
    </w:p>
    <w:p w:rsidR="00C92F3B" w:rsidRPr="00FE3FDC" w:rsidRDefault="00C92F3B" w:rsidP="00C92F3B">
      <w:pPr>
        <w:rPr>
          <w:rFonts w:cs="Arial"/>
          <w:b/>
        </w:rPr>
      </w:pPr>
    </w:p>
    <w:p w:rsidR="00541A2C" w:rsidRDefault="00541A2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lastRenderedPageBreak/>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9A22D0"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9A22D0"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9A22D0"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9A22D0"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9A22D0">
      <w:rPr>
        <w:rFonts w:ascii="Arial" w:hAnsi="Arial" w:cs="Arial"/>
        <w:noProof/>
        <w:sz w:val="20"/>
      </w:rPr>
      <w:t>7</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D44A26"/>
    <w:multiLevelType w:val="hybridMultilevel"/>
    <w:tmpl w:val="32764290"/>
    <w:lvl w:ilvl="0" w:tplc="ED38081A">
      <w:start w:val="9"/>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8"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584E1B"/>
    <w:multiLevelType w:val="hybridMultilevel"/>
    <w:tmpl w:val="B208583E"/>
    <w:lvl w:ilvl="0" w:tplc="AE30D80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653610EA"/>
    <w:multiLevelType w:val="hybridMultilevel"/>
    <w:tmpl w:val="FA12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ED6470"/>
    <w:multiLevelType w:val="hybridMultilevel"/>
    <w:tmpl w:val="4C166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10"/>
  </w:num>
  <w:num w:numId="4">
    <w:abstractNumId w:val="4"/>
  </w:num>
  <w:num w:numId="5">
    <w:abstractNumId w:val="28"/>
  </w:num>
  <w:num w:numId="6">
    <w:abstractNumId w:val="30"/>
  </w:num>
  <w:num w:numId="7">
    <w:abstractNumId w:val="12"/>
  </w:num>
  <w:num w:numId="8">
    <w:abstractNumId w:val="26"/>
  </w:num>
  <w:num w:numId="9">
    <w:abstractNumId w:val="7"/>
  </w:num>
  <w:num w:numId="10">
    <w:abstractNumId w:val="29"/>
  </w:num>
  <w:num w:numId="11">
    <w:abstractNumId w:val="14"/>
  </w:num>
  <w:num w:numId="12">
    <w:abstractNumId w:val="21"/>
  </w:num>
  <w:num w:numId="13">
    <w:abstractNumId w:val="28"/>
  </w:num>
  <w:num w:numId="14">
    <w:abstractNumId w:val="16"/>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7"/>
  </w:num>
  <w:num w:numId="17">
    <w:abstractNumId w:val="19"/>
  </w:num>
  <w:num w:numId="18">
    <w:abstractNumId w:val="17"/>
  </w:num>
  <w:num w:numId="19">
    <w:abstractNumId w:val="9"/>
  </w:num>
  <w:num w:numId="20">
    <w:abstractNumId w:val="1"/>
  </w:num>
  <w:num w:numId="21">
    <w:abstractNumId w:val="8"/>
  </w:num>
  <w:num w:numId="22">
    <w:abstractNumId w:val="5"/>
  </w:num>
  <w:num w:numId="23">
    <w:abstractNumId w:val="13"/>
  </w:num>
  <w:num w:numId="24">
    <w:abstractNumId w:val="3"/>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11"/>
  </w:num>
  <w:num w:numId="30">
    <w:abstractNumId w:val="2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06B"/>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2283"/>
    <w:rsid w:val="00343984"/>
    <w:rsid w:val="00343DDB"/>
    <w:rsid w:val="00347F4D"/>
    <w:rsid w:val="003523C2"/>
    <w:rsid w:val="00356CA7"/>
    <w:rsid w:val="00366B2E"/>
    <w:rsid w:val="003722EB"/>
    <w:rsid w:val="00375E0A"/>
    <w:rsid w:val="00380822"/>
    <w:rsid w:val="00382047"/>
    <w:rsid w:val="003A32EA"/>
    <w:rsid w:val="003B5DD0"/>
    <w:rsid w:val="003B7E8C"/>
    <w:rsid w:val="003C25A3"/>
    <w:rsid w:val="003D19FA"/>
    <w:rsid w:val="003D3BC4"/>
    <w:rsid w:val="003D7284"/>
    <w:rsid w:val="003D7A6B"/>
    <w:rsid w:val="003E1D98"/>
    <w:rsid w:val="00400EA6"/>
    <w:rsid w:val="004020F2"/>
    <w:rsid w:val="0040601D"/>
    <w:rsid w:val="00422BE8"/>
    <w:rsid w:val="00425E47"/>
    <w:rsid w:val="00427434"/>
    <w:rsid w:val="00433275"/>
    <w:rsid w:val="00444B70"/>
    <w:rsid w:val="00445012"/>
    <w:rsid w:val="00462A0A"/>
    <w:rsid w:val="0047429C"/>
    <w:rsid w:val="00476F64"/>
    <w:rsid w:val="0048138C"/>
    <w:rsid w:val="00485D9C"/>
    <w:rsid w:val="004A431B"/>
    <w:rsid w:val="004C189E"/>
    <w:rsid w:val="004D1C19"/>
    <w:rsid w:val="004D4066"/>
    <w:rsid w:val="004D5B7D"/>
    <w:rsid w:val="004D797D"/>
    <w:rsid w:val="004D7BF1"/>
    <w:rsid w:val="004E5E4B"/>
    <w:rsid w:val="004E7D31"/>
    <w:rsid w:val="004F6076"/>
    <w:rsid w:val="00500816"/>
    <w:rsid w:val="00503691"/>
    <w:rsid w:val="0051198F"/>
    <w:rsid w:val="00522F33"/>
    <w:rsid w:val="00523F77"/>
    <w:rsid w:val="00525A77"/>
    <w:rsid w:val="005360D7"/>
    <w:rsid w:val="00536EF5"/>
    <w:rsid w:val="00537574"/>
    <w:rsid w:val="005377A3"/>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C7C38"/>
    <w:rsid w:val="005D5C10"/>
    <w:rsid w:val="005E38AB"/>
    <w:rsid w:val="005E76F3"/>
    <w:rsid w:val="005F1690"/>
    <w:rsid w:val="005F28FD"/>
    <w:rsid w:val="0060011E"/>
    <w:rsid w:val="00601E63"/>
    <w:rsid w:val="00603B2A"/>
    <w:rsid w:val="0061247F"/>
    <w:rsid w:val="00614ED5"/>
    <w:rsid w:val="006158B7"/>
    <w:rsid w:val="006239B9"/>
    <w:rsid w:val="00625683"/>
    <w:rsid w:val="00626888"/>
    <w:rsid w:val="00627F85"/>
    <w:rsid w:val="006563C3"/>
    <w:rsid w:val="0066238B"/>
    <w:rsid w:val="00675B1F"/>
    <w:rsid w:val="00676124"/>
    <w:rsid w:val="006778F0"/>
    <w:rsid w:val="006808C4"/>
    <w:rsid w:val="00682A79"/>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E7670"/>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3ACF"/>
    <w:rsid w:val="009640CA"/>
    <w:rsid w:val="00986710"/>
    <w:rsid w:val="00991C1B"/>
    <w:rsid w:val="009A21BA"/>
    <w:rsid w:val="009A22D0"/>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878D6"/>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570F4"/>
    <w:rsid w:val="00C6767F"/>
    <w:rsid w:val="00C732DF"/>
    <w:rsid w:val="00C74A6F"/>
    <w:rsid w:val="00C928F9"/>
    <w:rsid w:val="00C92F3B"/>
    <w:rsid w:val="00C95B23"/>
    <w:rsid w:val="00C966AF"/>
    <w:rsid w:val="00C97DCC"/>
    <w:rsid w:val="00CA03A6"/>
    <w:rsid w:val="00CA23F4"/>
    <w:rsid w:val="00CA4FC3"/>
    <w:rsid w:val="00CA5DD9"/>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01C8"/>
    <w:rsid w:val="00D47901"/>
    <w:rsid w:val="00D47A6F"/>
    <w:rsid w:val="00D51672"/>
    <w:rsid w:val="00D525BE"/>
    <w:rsid w:val="00D60E83"/>
    <w:rsid w:val="00D67BD0"/>
    <w:rsid w:val="00D72063"/>
    <w:rsid w:val="00D72851"/>
    <w:rsid w:val="00D779C5"/>
    <w:rsid w:val="00D808E4"/>
    <w:rsid w:val="00D84C38"/>
    <w:rsid w:val="00D9224C"/>
    <w:rsid w:val="00D92CE9"/>
    <w:rsid w:val="00D9682A"/>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06B"/>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41F8"/>
    <w:rsid w:val="00F0676E"/>
    <w:rsid w:val="00F14161"/>
    <w:rsid w:val="00F1737D"/>
    <w:rsid w:val="00F2487E"/>
    <w:rsid w:val="00F255AE"/>
    <w:rsid w:val="00F25F45"/>
    <w:rsid w:val="00F277CF"/>
    <w:rsid w:val="00F350F5"/>
    <w:rsid w:val="00F37687"/>
    <w:rsid w:val="00F45FD7"/>
    <w:rsid w:val="00F53B0B"/>
    <w:rsid w:val="00F55BBB"/>
    <w:rsid w:val="00F600A9"/>
    <w:rsid w:val="00F6112F"/>
    <w:rsid w:val="00F7126B"/>
    <w:rsid w:val="00F71EE3"/>
    <w:rsid w:val="00F727CB"/>
    <w:rsid w:val="00F8044B"/>
    <w:rsid w:val="00F815DB"/>
    <w:rsid w:val="00F828BE"/>
    <w:rsid w:val="00F94A51"/>
    <w:rsid w:val="00F961D5"/>
    <w:rsid w:val="00F96BBC"/>
    <w:rsid w:val="00FA23B4"/>
    <w:rsid w:val="00FC4B32"/>
    <w:rsid w:val="00FC5E29"/>
    <w:rsid w:val="00FC76B2"/>
    <w:rsid w:val="00FD68D9"/>
    <w:rsid w:val="00FE029B"/>
    <w:rsid w:val="00FE3A0C"/>
    <w:rsid w:val="00FE3FD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65537"/>
    <o:shapelayout v:ext="edit">
      <o:idmap v:ext="edit" data="1"/>
    </o:shapelayout>
  </w:shapeDefaults>
  <w:decimalSymbol w:val="."/>
  <w:listSeparator w:val=","/>
  <w14:docId w14:val="46C9386E"/>
  <w15:docId w15:val="{B2F3B6F8-8320-48AC-9395-9C9CAA1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 w:type="paragraph" w:customStyle="1" w:styleId="Default">
    <w:name w:val="Default"/>
    <w:rsid w:val="007E76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64F11-E59A-48A9-B6EB-3CCD160B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5082</Words>
  <Characters>27076</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32094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Tara Devine</cp:lastModifiedBy>
  <cp:revision>3</cp:revision>
  <cp:lastPrinted>2020-03-25T10:41:00Z</cp:lastPrinted>
  <dcterms:created xsi:type="dcterms:W3CDTF">2024-02-22T09:21:00Z</dcterms:created>
  <dcterms:modified xsi:type="dcterms:W3CDTF">2024-02-22T09:27:00Z</dcterms:modified>
</cp:coreProperties>
</file>